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E3F37" Type="http://schemas.openxmlformats.org/officeDocument/2006/relationships/officeDocument" Target="/word/document.xml" /><Relationship Id="coreR7B1E3F37" Type="http://schemas.openxmlformats.org/package/2006/relationships/metadata/core-properties" Target="/docProps/core.xml" /><Relationship Id="customR7B1E3F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Zasazování drahých kamenů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šperků a klenotů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tavení drahých kovů pro výrobu šperků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ve způsobech odlévání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Lisování a válcování drahých kovů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Vrtání při výrobě šperků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18.10.2026 18:30:29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dle tohoto standardu uchazeč zhotoví prsten solitér dle zadání autorizované osoby (časová norma 8 hodin) a soupravu šperků dle vlastního návrhu, složenou nejméně ze tří částí (časová norma 60‒72 hodiny). Uchazeč si připraví a přinese ke zkoušce uvedený vlastní výtvarný návrh soupravy šperků.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zajistí šperk určený k opravě, tj. pro ověření kompetence Posuzování kvality šperků z drahých kovů, provádění oprav šperků, značení výrobní, ryzostní a puncovní značkou.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je třeba posuzovat kvalitu, přesnost provedení a jejich estetické ztvárnění.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18.10.2026 18:30:29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18.10.2026 18:30:29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