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CE1E54" Type="http://schemas.openxmlformats.org/officeDocument/2006/relationships/officeDocument" Target="/word/document.xml" /><Relationship Id="coreR19CE1E54" Type="http://schemas.openxmlformats.org/package/2006/relationships/metadata/core-properties" Target="/docProps/core.xml" /><Relationship Id="customR19CE1E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Zasazovač drahých kamenů, 31.7.2026 18:22:27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návrhu šperku a určit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Objasnit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Vysvětlit způsob ukrytí nedostatků v pravidelnosti tvarů výbrusu kamene a vnitřních defektů na předloženém kameni při jeho zasazování</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ve způsobech zasazení drahých kamenů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druhy šperků, pro které je konkrétní zasazení vhodné</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příčiny, které by mohly způsobovat problémy se zasazením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0824"/>
        <w:rPr>
          <w:rStyle w:val="C23"/>
          <w:rtl w:val="0"/>
        </w:rPr>
      </w:pPr>
      <w:r>
        <w:rPr>
          <w:rStyle w:val="C23"/>
          <w:rtl w:val="0"/>
        </w:rPr>
        <w:t>Je třeba splnit obě kritéria.</w:t>
      </w:r>
    </w:p>
    <w:p>
      <w:pPr>
        <w:pStyle w:val="P23"/>
        <w:framePr w:w="10710" w:h="340" w:hRule="exact" w:wrap="none" w:vAnchor="page" w:hAnchor="margin" w:x="28" w:y="11260"/>
        <w:rPr>
          <w:rStyle w:val="C18"/>
          <w:rtl w:val="0"/>
        </w:rPr>
      </w:pPr>
      <w:r>
        <w:rPr>
          <w:rStyle w:val="C18"/>
          <w:rtl w:val="0"/>
        </w:rPr>
        <w:t>Posuzování proveditelnosti zasazení, upevňování šperku při zasazování</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Posoudit možnost úspěšného provedení zasazení s ohledem na konstrukci šperků</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Upevnit šperky při zasazování kamenů s ohledem na zabránění poškození kamene</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c) Určit způsob vyjmutí šperků z upevňovacích pomůcek s ohledem na teplotu, které může být daný druh kamene vystaven</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31.7.2026 18:22:27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Objasnit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Provést zasazení kamenů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Objasnit zasazení kamenů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31.7.2026 18:22:27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zasazení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31.7.2026 18:22:27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dokončení technologických postupů a technik vedoucích k zasazení drahých kamenů, které jsou uvedeny v tomto standardu.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 drahých kamenů, 31.7.2026 18:22:27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zaměřeném na zlatnictví a klenotnictví + střední vzdělání s maturitní zkouškou, a alespoň 7 let odborné praxe v oblasti zlatnické a klenotnické výroby, příp. tvorby včetně zasazování drahých kamenů nebo ve funkci učitele odborného výcviku v oblasti zlatnictví a klenotnictví včetně zasazování drahých kamenů,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Profesní kvalifikace dle tohoto standardu + střední vzdělání s maturitní zkouškou a alespoň 10 let odborné praxe v oblasti zlatnické a klenotnické výroby, příp. tvorby, včetně zasazování drahých kamenů,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a vody odpovídající bezpečnostním předpisům.</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obecné kovy (mosaz, tombak, pakfonk, měď), syntetické kameny libovolných výbrusů a velikostí (množství určí autorizovaná osoba).</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rydlo ploché, rydlo půlkulaté, rydlo špičaté, rydlo opichovací, zatlačováky různých profilů, ocelová hladítka, milgrifové kolečko na ozrnění.</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bowdenová vrtačka, případně malá bruska, leštička.</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Zasazovač drahých kamenů, 31.7.2026 18:22:27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 drahých kamenů, 31.7.2026 18:22:27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Zasazovač drahých kamenů, 31.7.2026 18:22:27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EF62E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