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4B40A5" Type="http://schemas.openxmlformats.org/officeDocument/2006/relationships/officeDocument" Target="/word/document.xml" /><Relationship Id="coreR724B40A5" Type="http://schemas.openxmlformats.org/package/2006/relationships/metadata/core-properties" Target="/docProps/core.xml" /><Relationship Id="customR724B4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obchodní a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Komunikace s úřady, práce s legislativou a obecně platnými předpisy, uplatňování pravidel vývozu a dovozu zboží v rámci EU a mimo ni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20"/>
        <w:framePr w:w="9826" w:h="376" w:hRule="exact" w:wrap="none" w:vAnchor="page" w:hAnchor="margin" w:x="45" w:y="9467"/>
        <w:rPr>
          <w:rStyle w:val="C3"/>
          <w:rtl w:val="0"/>
        </w:rPr>
      </w:pPr>
    </w:p>
    <w:p>
      <w:pPr>
        <w:pStyle w:val="P20"/>
        <w:keepNext w:val="0"/>
        <w:keepLines w:val="0"/>
        <w:framePr w:w="9826" w:h="376" w:hRule="exact" w:wrap="none" w:vAnchor="page" w:hAnchor="margin" w:x="45" w:y="9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a kvantitativní posuzování zboží při výkupu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Výkup starožitností, orientace v komisním a aukčním prodeji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7"/>
        <w:framePr w:w="8788" w:h="340" w:hRule="exact" w:wrap="none" w:vAnchor="page" w:hAnchor="margin" w:x="28" w:y="10822"/>
        <w:rPr>
          <w:rStyle w:val="C8"/>
          <w:rtl w:val="0"/>
        </w:rPr>
      </w:pPr>
      <w:r>
        <w:rPr>
          <w:rStyle w:val="C8"/>
          <w:rtl w:val="0"/>
        </w:rPr>
        <w:t>Platnost standardu</w:t>
      </w:r>
    </w:p>
    <w:p>
      <w:pPr>
        <w:pStyle w:val="P21"/>
        <w:framePr w:w="4283" w:h="248" w:hRule="exact" w:wrap="none" w:vAnchor="page" w:hAnchor="margin" w:x="28" w:y="11163"/>
        <w:rPr>
          <w:rStyle w:val="C15"/>
          <w:rtl w:val="0"/>
        </w:rPr>
      </w:pPr>
      <w:r>
        <w:rPr>
          <w:rStyle w:val="C15"/>
          <w:rtl w:val="0"/>
        </w:rPr>
        <w:t>Standard je platný od: 29.04.2019 do: 20.10.2022</w:t>
      </w:r>
    </w:p>
    <w:p>
      <w:pPr>
        <w:pStyle w:val="P22"/>
        <w:framePr w:w="7654" w:h="331" w:hRule="exact" w:wrap="none" w:vAnchor="page" w:hAnchor="margin" w:x="28" w:y="15940"/>
        <w:rPr>
          <w:rStyle w:val="C16"/>
          <w:rtl w:val="0"/>
        </w:rPr>
      </w:pPr>
      <w:r>
        <w:rPr>
          <w:rStyle w:val="C16"/>
          <w:rtl w:val="0"/>
        </w:rPr>
        <w:t>Starožitník, 15.6.2026 6:25:51</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 v českém jazyce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 předloženého starožitného předmětu s ohledem na jeho jedinečnost a 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c) Zpracovat a obhájit písemnou práci na dané téma</w:t>
      </w:r>
    </w:p>
    <w:p>
      <w:pPr>
        <w:pStyle w:val="P29"/>
        <w:framePr w:w="3921" w:h="376" w:hRule="exact" w:wrap="none" w:vAnchor="page" w:hAnchor="margin" w:x="6800" w:y="6913"/>
        <w:rPr>
          <w:rStyle w:val="C3"/>
          <w:rtl w:val="0"/>
        </w:rPr>
      </w:pPr>
    </w:p>
    <w:p>
      <w:pPr>
        <w:pStyle w:val="P30"/>
        <w:framePr w:w="3839" w:h="249" w:hRule="exact" w:wrap="none" w:vAnchor="page" w:hAnchor="margin" w:x="6856" w:y="6969"/>
        <w:rPr>
          <w:rStyle w:val="C21"/>
          <w:rtl w:val="0"/>
        </w:rPr>
      </w:pPr>
      <w:r>
        <w:rPr>
          <w:rStyle w:val="C21"/>
          <w:rtl w:val="0"/>
        </w:rPr>
        <w:t>Písemné a ústní ověření</w:t>
      </w:r>
    </w:p>
    <w:p>
      <w:pPr>
        <w:pStyle w:val="P31"/>
        <w:framePr w:w="10710" w:h="248" w:hRule="exact" w:wrap="none" w:vAnchor="page" w:hAnchor="margin" w:x="28" w:y="7403"/>
        <w:rPr>
          <w:rStyle w:val="C22"/>
          <w:rtl w:val="0"/>
        </w:rPr>
      </w:pPr>
      <w:r>
        <w:rPr>
          <w:rStyle w:val="C22"/>
          <w:rtl w:val="0"/>
        </w:rPr>
        <w:t>Je třeba splnit všechna kritéria.</w:t>
      </w:r>
    </w:p>
    <w:p>
      <w:pPr>
        <w:pStyle w:val="P24"/>
        <w:framePr w:w="10710" w:h="340" w:hRule="exact" w:wrap="none" w:vAnchor="page" w:hAnchor="margin" w:x="28" w:y="7839"/>
        <w:rPr>
          <w:rStyle w:val="C18"/>
          <w:rtl w:val="0"/>
        </w:rPr>
      </w:pPr>
      <w:r>
        <w:rPr>
          <w:rStyle w:val="C18"/>
          <w:rtl w:val="0"/>
        </w:rPr>
        <w:t>Vedení obchodní a prodejní dokumentace</w:t>
      </w:r>
    </w:p>
    <w:p>
      <w:pPr>
        <w:pStyle w:val="P25"/>
        <w:framePr w:w="6713" w:h="376" w:hRule="exact" w:wrap="none" w:vAnchor="page" w:hAnchor="margin" w:x="45" w:y="8278"/>
        <w:rPr>
          <w:rStyle w:val="C3"/>
          <w:rtl w:val="0"/>
        </w:rPr>
      </w:pPr>
    </w:p>
    <w:p>
      <w:pPr>
        <w:pStyle w:val="P26"/>
        <w:framePr w:w="6661" w:h="249" w:hRule="exact" w:wrap="none" w:vAnchor="page" w:hAnchor="margin" w:x="71" w:y="8349"/>
        <w:rPr>
          <w:rStyle w:val="C19"/>
          <w:rtl w:val="0"/>
        </w:rPr>
      </w:pPr>
      <w:r>
        <w:rPr>
          <w:rStyle w:val="C19"/>
          <w:rtl w:val="0"/>
        </w:rPr>
        <w:t>Kritéria hodnocení</w:t>
      </w:r>
    </w:p>
    <w:p>
      <w:pPr>
        <w:pStyle w:val="P27"/>
        <w:framePr w:w="3918" w:h="376" w:hRule="exact" w:wrap="none" w:vAnchor="page" w:hAnchor="margin" w:x="6803" w:y="8278"/>
        <w:rPr>
          <w:rStyle w:val="C3"/>
          <w:rtl w:val="0"/>
        </w:rPr>
      </w:pPr>
    </w:p>
    <w:p>
      <w:pPr>
        <w:pStyle w:val="P28"/>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Uvést a vysvětlit druhy evidence zboží</w:t>
      </w:r>
    </w:p>
    <w:p>
      <w:pPr>
        <w:pStyle w:val="P29"/>
        <w:framePr w:w="3921" w:h="376" w:hRule="exact" w:wrap="none" w:vAnchor="page" w:hAnchor="margin" w:x="6800" w:y="8654"/>
        <w:rPr>
          <w:rStyle w:val="C3"/>
          <w:rtl w:val="0"/>
        </w:rPr>
      </w:pPr>
    </w:p>
    <w:p>
      <w:pPr>
        <w:pStyle w:val="P30"/>
        <w:framePr w:w="3839" w:h="249" w:hRule="exact" w:wrap="none" w:vAnchor="page" w:hAnchor="margin" w:x="6856" w:y="8710"/>
        <w:rPr>
          <w:rStyle w:val="C21"/>
          <w:rtl w:val="0"/>
        </w:rPr>
      </w:pPr>
      <w:r>
        <w:rPr>
          <w:rStyle w:val="C21"/>
          <w:rtl w:val="0"/>
        </w:rPr>
        <w:t>Ústní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9030"/>
        <w:rPr>
          <w:rStyle w:val="C3"/>
          <w:rtl w:val="0"/>
        </w:rPr>
      </w:pPr>
    </w:p>
    <w:p>
      <w:pPr>
        <w:pStyle w:val="P33"/>
        <w:framePr w:w="3839" w:h="480" w:hRule="exact" w:wrap="none" w:vAnchor="page" w:hAnchor="margin" w:x="6856" w:y="9086"/>
        <w:rPr>
          <w:rStyle w:val="C23"/>
          <w:rtl w:val="0"/>
        </w:rPr>
      </w:pPr>
      <w:r>
        <w:rPr>
          <w:rStyle w:val="C23"/>
          <w:rtl w:val="0"/>
        </w:rPr>
        <w:t>Praktické předvedení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37"/>
        <w:rPr>
          <w:rStyle w:val="C3"/>
          <w:rtl w:val="0"/>
        </w:rPr>
      </w:pPr>
    </w:p>
    <w:p>
      <w:pPr>
        <w:pStyle w:val="P30"/>
        <w:framePr w:w="3839" w:h="480" w:hRule="exact" w:wrap="none" w:vAnchor="page" w:hAnchor="margin" w:x="6856" w:y="9693"/>
        <w:rPr>
          <w:rStyle w:val="C21"/>
          <w:rtl w:val="0"/>
        </w:rPr>
      </w:pPr>
      <w:r>
        <w:rPr>
          <w:rStyle w:val="C21"/>
          <w:rtl w:val="0"/>
        </w:rPr>
        <w:t>Praktické předvedení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Uvést druhy obchodní dokumentace, vysvětlit jejich význam</w:t>
      </w:r>
    </w:p>
    <w:p>
      <w:pPr>
        <w:pStyle w:val="P32"/>
        <w:framePr w:w="3921" w:h="376" w:hRule="exact" w:wrap="none" w:vAnchor="page" w:hAnchor="margin" w:x="6800" w:y="10244"/>
        <w:rPr>
          <w:rStyle w:val="C3"/>
          <w:rtl w:val="0"/>
        </w:rPr>
      </w:pPr>
    </w:p>
    <w:p>
      <w:pPr>
        <w:pStyle w:val="P33"/>
        <w:framePr w:w="3839" w:h="249" w:hRule="exact" w:wrap="none" w:vAnchor="page" w:hAnchor="margin" w:x="6856" w:y="10300"/>
        <w:rPr>
          <w:rStyle w:val="C23"/>
          <w:rtl w:val="0"/>
        </w:rPr>
      </w:pPr>
      <w:r>
        <w:rPr>
          <w:rStyle w:val="C23"/>
          <w:rtl w:val="0"/>
        </w:rPr>
        <w:t>Ústní ověření</w:t>
      </w:r>
    </w:p>
    <w:p>
      <w:pPr>
        <w:pStyle w:val="P31"/>
        <w:framePr w:w="10710" w:h="248" w:hRule="exact" w:wrap="none" w:vAnchor="page" w:hAnchor="margin" w:x="28" w:y="10734"/>
        <w:rPr>
          <w:rStyle w:val="C22"/>
          <w:rtl w:val="0"/>
        </w:rPr>
      </w:pPr>
      <w:r>
        <w:rPr>
          <w:rStyle w:val="C22"/>
          <w:rtl w:val="0"/>
        </w:rPr>
        <w:t>Je třeba splnit všechna kritéria.</w:t>
      </w:r>
    </w:p>
    <w:p>
      <w:pPr>
        <w:pStyle w:val="P24"/>
        <w:framePr w:w="10710" w:h="340" w:hRule="exact" w:wrap="none" w:vAnchor="page" w:hAnchor="margin" w:x="28" w:y="11169"/>
        <w:rPr>
          <w:rStyle w:val="C18"/>
          <w:rtl w:val="0"/>
        </w:rPr>
      </w:pPr>
      <w:r>
        <w:rPr>
          <w:rStyle w:val="C18"/>
          <w:rtl w:val="0"/>
        </w:rPr>
        <w:t>Přijímání hotovostních a bezhotovostních plateb a obsluha pokladny</w:t>
      </w:r>
    </w:p>
    <w:p>
      <w:pPr>
        <w:pStyle w:val="P25"/>
        <w:framePr w:w="6713" w:h="376" w:hRule="exact" w:wrap="none" w:vAnchor="page" w:hAnchor="margin" w:x="45" w:y="11609"/>
        <w:rPr>
          <w:rStyle w:val="C3"/>
          <w:rtl w:val="0"/>
        </w:rPr>
      </w:pPr>
    </w:p>
    <w:p>
      <w:pPr>
        <w:pStyle w:val="P26"/>
        <w:framePr w:w="6661" w:h="249" w:hRule="exact" w:wrap="none" w:vAnchor="page" w:hAnchor="margin" w:x="71" w:y="11680"/>
        <w:rPr>
          <w:rStyle w:val="C19"/>
          <w:rtl w:val="0"/>
        </w:rPr>
      </w:pPr>
      <w:r>
        <w:rPr>
          <w:rStyle w:val="C19"/>
          <w:rtl w:val="0"/>
        </w:rPr>
        <w:t>Kritéria hodnocení</w:t>
      </w:r>
    </w:p>
    <w:p>
      <w:pPr>
        <w:pStyle w:val="P27"/>
        <w:framePr w:w="3918" w:h="376" w:hRule="exact" w:wrap="none" w:vAnchor="page" w:hAnchor="margin" w:x="6803" w:y="11609"/>
        <w:rPr>
          <w:rStyle w:val="C3"/>
          <w:rtl w:val="0"/>
        </w:rPr>
      </w:pPr>
    </w:p>
    <w:p>
      <w:pPr>
        <w:pStyle w:val="P28"/>
        <w:framePr w:w="3836" w:h="249" w:hRule="exact" w:wrap="none" w:vAnchor="page" w:hAnchor="margin" w:x="6859" w:y="11680"/>
        <w:rPr>
          <w:rStyle w:val="C20"/>
          <w:rtl w:val="0"/>
        </w:rPr>
      </w:pPr>
      <w:r>
        <w:rPr>
          <w:rStyle w:val="C20"/>
          <w:rtl w:val="0"/>
        </w:rPr>
        <w:t>Způsoby ověření</w:t>
      </w:r>
    </w:p>
    <w:p>
      <w:pPr>
        <w:pStyle w:val="P12"/>
        <w:framePr w:w="6710" w:h="1055" w:hRule="exact" w:wrap="none" w:vAnchor="page" w:hAnchor="margin" w:x="45" w:y="11985"/>
        <w:rPr>
          <w:rStyle w:val="C3"/>
          <w:rtl w:val="0"/>
        </w:rPr>
      </w:pPr>
    </w:p>
    <w:p>
      <w:pPr>
        <w:pStyle w:val="P13"/>
        <w:framePr w:w="6658" w:h="928" w:hRule="exact" w:wrap="none" w:vAnchor="page" w:hAnchor="margin" w:x="71" w:y="12041"/>
        <w:rPr>
          <w:rStyle w:val="C11"/>
          <w:rtl w:val="0"/>
        </w:rPr>
      </w:pPr>
      <w:r>
        <w:rPr>
          <w:rStyle w:val="C11"/>
          <w:rtl w:val="0"/>
        </w:rPr>
        <w:t>a) Popsat a předvést modelovou situaci jednotlivých fází hotovostní platby (práce s pokladnou, znalost EET, ověřit platnost bankovek a znalost ochranných prvků, přepočet kurzu při platbě cizí měnou, vystavení pokladního dokladu)</w:t>
      </w:r>
    </w:p>
    <w:p>
      <w:pPr>
        <w:pStyle w:val="P29"/>
        <w:framePr w:w="3921" w:h="1055" w:hRule="exact" w:wrap="none" w:vAnchor="page" w:hAnchor="margin" w:x="6800" w:y="11985"/>
        <w:rPr>
          <w:rStyle w:val="C3"/>
          <w:rtl w:val="0"/>
        </w:rPr>
      </w:pPr>
    </w:p>
    <w:p>
      <w:pPr>
        <w:pStyle w:val="P30"/>
        <w:framePr w:w="3839" w:h="928" w:hRule="exact" w:wrap="none" w:vAnchor="page" w:hAnchor="margin" w:x="6856" w:y="12041"/>
        <w:rPr>
          <w:rStyle w:val="C21"/>
          <w:rtl w:val="0"/>
        </w:rPr>
      </w:pPr>
      <w:r>
        <w:rPr>
          <w:rStyle w:val="C21"/>
          <w:rtl w:val="0"/>
        </w:rPr>
        <w:t>Praktické předvedení a ústní ověření</w:t>
      </w:r>
    </w:p>
    <w:p>
      <w:pPr>
        <w:pStyle w:val="P16"/>
        <w:framePr w:w="6710" w:h="831" w:hRule="exact" w:wrap="none" w:vAnchor="page" w:hAnchor="margin" w:x="45" w:y="13040"/>
        <w:rPr>
          <w:rStyle w:val="C3"/>
          <w:rtl w:val="0"/>
        </w:rPr>
      </w:pPr>
    </w:p>
    <w:p>
      <w:pPr>
        <w:pStyle w:val="P17"/>
        <w:framePr w:w="6658" w:h="704" w:hRule="exact" w:wrap="none" w:vAnchor="page" w:hAnchor="margin" w:x="71" w:y="13096"/>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3040"/>
        <w:rPr>
          <w:rStyle w:val="C3"/>
          <w:rtl w:val="0"/>
        </w:rPr>
      </w:pPr>
    </w:p>
    <w:p>
      <w:pPr>
        <w:pStyle w:val="P33"/>
        <w:framePr w:w="3839" w:h="704" w:hRule="exact" w:wrap="none" w:vAnchor="page" w:hAnchor="margin" w:x="6856" w:y="13096"/>
        <w:rPr>
          <w:rStyle w:val="C23"/>
          <w:rtl w:val="0"/>
        </w:rPr>
      </w:pPr>
      <w:r>
        <w:rPr>
          <w:rStyle w:val="C23"/>
          <w:rtl w:val="0"/>
        </w:rPr>
        <w:t>Praktické předvedení a ústní ověření</w:t>
      </w:r>
    </w:p>
    <w:p>
      <w:pPr>
        <w:pStyle w:val="P31"/>
        <w:framePr w:w="10710" w:h="248" w:hRule="exact" w:wrap="none" w:vAnchor="page" w:hAnchor="margin" w:x="28" w:y="1398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Starožitník, 15.6.2026 6:25:51</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 15.6.2026 6:25:51</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potřebné postupy k realizaci vývozu předloženého starožitného předmětu (dle zákona 235/2004 Sb. o dani z přidané hodnoty, § 90 ve znění pozdějších předpisů)</w:t>
      </w:r>
    </w:p>
    <w:p>
      <w:pPr>
        <w:pStyle w:val="P32"/>
        <w:framePr w:w="3921" w:h="831" w:hRule="exact" w:wrap="none" w:vAnchor="page" w:hAnchor="margin" w:x="6800" w:y="3784"/>
        <w:rPr>
          <w:rStyle w:val="C3"/>
          <w:rtl w:val="0"/>
        </w:rPr>
      </w:pPr>
    </w:p>
    <w:p>
      <w:pPr>
        <w:pStyle w:val="P33"/>
        <w:framePr w:w="3839" w:h="704" w:hRule="exact" w:wrap="none" w:vAnchor="page" w:hAnchor="margin" w:x="6856" w:y="3840"/>
        <w:rPr>
          <w:rStyle w:val="C23"/>
          <w:rtl w:val="0"/>
        </w:rPr>
      </w:pPr>
      <w:r>
        <w:rPr>
          <w:rStyle w:val="C23"/>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způsoby prodeje a následného vývozu určeného starožitného předmětu v rámci EU a mimo ni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náležitosti prodeje určeného starožitného předmětu z drahého kovu</w:t>
      </w:r>
    </w:p>
    <w:p>
      <w:pPr>
        <w:pStyle w:val="P32"/>
        <w:framePr w:w="3921" w:h="607" w:hRule="exact" w:wrap="none" w:vAnchor="page" w:hAnchor="margin" w:x="6800" w:y="5222"/>
        <w:rPr>
          <w:rStyle w:val="C3"/>
          <w:rtl w:val="0"/>
        </w:rPr>
      </w:pPr>
    </w:p>
    <w:p>
      <w:pPr>
        <w:pStyle w:val="P33"/>
        <w:framePr w:w="3839" w:h="480" w:hRule="exact" w:wrap="none" w:vAnchor="page" w:hAnchor="margin" w:x="6856" w:y="5278"/>
        <w:rPr>
          <w:rStyle w:val="C23"/>
          <w:rtl w:val="0"/>
        </w:rPr>
      </w:pPr>
      <w:r>
        <w:rPr>
          <w:rStyle w:val="C23"/>
          <w:rtl w:val="0"/>
        </w:rPr>
        <w:t>Ústní ověření</w:t>
      </w:r>
    </w:p>
    <w:p>
      <w:pPr>
        <w:pStyle w:val="P31"/>
        <w:framePr w:w="10710" w:h="248" w:hRule="exact" w:wrap="none" w:vAnchor="page" w:hAnchor="margin" w:x="28" w:y="5942"/>
        <w:rPr>
          <w:rStyle w:val="C22"/>
          <w:rtl w:val="0"/>
        </w:rPr>
      </w:pPr>
      <w:r>
        <w:rPr>
          <w:rStyle w:val="C22"/>
          <w:rtl w:val="0"/>
        </w:rPr>
        <w:t>Je třeba splnit všechna kritéria.</w:t>
      </w:r>
    </w:p>
    <w:p>
      <w:pPr>
        <w:pStyle w:val="P34"/>
        <w:framePr w:w="10766" w:h="340" w:hRule="exact" w:wrap="none" w:vAnchor="page" w:hAnchor="margin" w:x="0" w:y="6378"/>
        <w:rPr>
          <w:rStyle w:val="C3"/>
          <w:rtl w:val="0"/>
        </w:rPr>
      </w:pPr>
    </w:p>
    <w:p>
      <w:pPr>
        <w:pStyle w:val="P34"/>
        <w:keepNext w:val="0"/>
        <w:keepLines w:val="0"/>
        <w:framePr w:w="10766" w:h="340" w:hRule="exact" w:wrap="none" w:vAnchor="page" w:hAnchor="margin" w:x="0" w:y="6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817"/>
        <w:rPr>
          <w:rStyle w:val="C3"/>
          <w:rtl w:val="0"/>
        </w:rPr>
      </w:pPr>
    </w:p>
    <w:p>
      <w:pPr>
        <w:pStyle w:val="P26"/>
        <w:framePr w:w="6661" w:h="249" w:hRule="exact" w:wrap="none" w:vAnchor="page" w:hAnchor="margin" w:x="71" w:y="6888"/>
        <w:rPr>
          <w:rStyle w:val="C19"/>
          <w:rtl w:val="0"/>
        </w:rPr>
      </w:pPr>
      <w:r>
        <w:rPr>
          <w:rStyle w:val="C19"/>
          <w:rtl w:val="0"/>
        </w:rPr>
        <w:t>Kritéria hodnocení</w:t>
      </w:r>
    </w:p>
    <w:p>
      <w:pPr>
        <w:pStyle w:val="P27"/>
        <w:framePr w:w="3918" w:h="376" w:hRule="exact" w:wrap="none" w:vAnchor="page" w:hAnchor="margin" w:x="6803" w:y="6817"/>
        <w:rPr>
          <w:rStyle w:val="C3"/>
          <w:rtl w:val="0"/>
        </w:rPr>
      </w:pPr>
    </w:p>
    <w:p>
      <w:pPr>
        <w:pStyle w:val="P28"/>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Předvést modelovou situaci doporučení určeného starožitného předmětu (např. nábytek, keramika, obraz, koberec) k opravě nebo restaurování</w:t>
      </w:r>
    </w:p>
    <w:p>
      <w:pPr>
        <w:pStyle w:val="P29"/>
        <w:framePr w:w="3921" w:h="607" w:hRule="exact" w:wrap="none" w:vAnchor="page" w:hAnchor="margin" w:x="6800" w:y="7193"/>
        <w:rPr>
          <w:rStyle w:val="C3"/>
          <w:rtl w:val="0"/>
        </w:rPr>
      </w:pPr>
    </w:p>
    <w:p>
      <w:pPr>
        <w:pStyle w:val="P30"/>
        <w:framePr w:w="3839" w:h="480"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Předvést a vysvětlit proces schválení finančních nákladů na opravu nebo restaurování určeného starožitného předmětu</w:t>
      </w:r>
    </w:p>
    <w:p>
      <w:pPr>
        <w:pStyle w:val="P32"/>
        <w:framePr w:w="3921" w:h="607" w:hRule="exact" w:wrap="none" w:vAnchor="page" w:hAnchor="margin" w:x="6800" w:y="7800"/>
        <w:rPr>
          <w:rStyle w:val="C3"/>
          <w:rtl w:val="0"/>
        </w:rPr>
      </w:pPr>
    </w:p>
    <w:p>
      <w:pPr>
        <w:pStyle w:val="P33"/>
        <w:framePr w:w="3839" w:h="480" w:hRule="exact" w:wrap="none" w:vAnchor="page" w:hAnchor="margin" w:x="6856" w:y="7856"/>
        <w:rPr>
          <w:rStyle w:val="C23"/>
          <w:rtl w:val="0"/>
        </w:rPr>
      </w:pPr>
      <w:r>
        <w:rPr>
          <w:rStyle w:val="C23"/>
          <w:rtl w:val="0"/>
        </w:rPr>
        <w:t>Praktické předvedení</w:t>
      </w:r>
    </w:p>
    <w:p>
      <w:pPr>
        <w:pStyle w:val="P31"/>
        <w:framePr w:w="10710" w:h="248" w:hRule="exact" w:wrap="none" w:vAnchor="page" w:hAnchor="margin" w:x="28" w:y="8520"/>
        <w:rPr>
          <w:rStyle w:val="C22"/>
          <w:rtl w:val="0"/>
        </w:rPr>
      </w:pPr>
      <w:r>
        <w:rPr>
          <w:rStyle w:val="C22"/>
          <w:rtl w:val="0"/>
        </w:rPr>
        <w:t>Je třeba splnit obě kritéria.</w:t>
      </w:r>
    </w:p>
    <w:p>
      <w:pPr>
        <w:pStyle w:val="P24"/>
        <w:framePr w:w="10710" w:h="340" w:hRule="exact" w:wrap="none" w:vAnchor="page" w:hAnchor="margin" w:x="28" w:y="8956"/>
        <w:rPr>
          <w:rStyle w:val="C18"/>
          <w:rtl w:val="0"/>
        </w:rPr>
      </w:pPr>
      <w:r>
        <w:rPr>
          <w:rStyle w:val="C18"/>
          <w:rtl w:val="0"/>
        </w:rPr>
        <w:t>Kvalitativní a kvantitativní posuzování zboží při výkupu</w:t>
      </w:r>
    </w:p>
    <w:p>
      <w:pPr>
        <w:pStyle w:val="P25"/>
        <w:framePr w:w="6713" w:h="376" w:hRule="exact" w:wrap="none" w:vAnchor="page" w:hAnchor="margin" w:x="45" w:y="9395"/>
        <w:rPr>
          <w:rStyle w:val="C3"/>
          <w:rtl w:val="0"/>
        </w:rPr>
      </w:pPr>
    </w:p>
    <w:p>
      <w:pPr>
        <w:pStyle w:val="P26"/>
        <w:framePr w:w="6661" w:h="249" w:hRule="exact" w:wrap="none" w:vAnchor="page" w:hAnchor="margin" w:x="71" w:y="9466"/>
        <w:rPr>
          <w:rStyle w:val="C19"/>
          <w:rtl w:val="0"/>
        </w:rPr>
      </w:pPr>
      <w:r>
        <w:rPr>
          <w:rStyle w:val="C19"/>
          <w:rtl w:val="0"/>
        </w:rPr>
        <w:t>Kritéria hodnocení</w:t>
      </w:r>
    </w:p>
    <w:p>
      <w:pPr>
        <w:pStyle w:val="P27"/>
        <w:framePr w:w="3918" w:h="376" w:hRule="exact" w:wrap="none" w:vAnchor="page" w:hAnchor="margin" w:x="6803" w:y="9395"/>
        <w:rPr>
          <w:rStyle w:val="C3"/>
          <w:rtl w:val="0"/>
        </w:rPr>
      </w:pPr>
    </w:p>
    <w:p>
      <w:pPr>
        <w:pStyle w:val="P28"/>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Předvést a zdůvodnit určení výkupní ceny dvou předložených starožitných předmětů</w:t>
      </w:r>
    </w:p>
    <w:p>
      <w:pPr>
        <w:pStyle w:val="P29"/>
        <w:framePr w:w="3921" w:h="607" w:hRule="exact" w:wrap="none" w:vAnchor="page" w:hAnchor="margin" w:x="6800" w:y="9771"/>
        <w:rPr>
          <w:rStyle w:val="C3"/>
          <w:rtl w:val="0"/>
        </w:rPr>
      </w:pPr>
    </w:p>
    <w:p>
      <w:pPr>
        <w:pStyle w:val="P30"/>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Zdůvodnit rozdílnost výkupních cen z hlediska regionálního, aktuálnosti nabídky a poptávky</w:t>
      </w:r>
    </w:p>
    <w:p>
      <w:pPr>
        <w:pStyle w:val="P32"/>
        <w:framePr w:w="3921" w:h="607" w:hRule="exact" w:wrap="none" w:vAnchor="page" w:hAnchor="margin" w:x="6800" w:y="10378"/>
        <w:rPr>
          <w:rStyle w:val="C3"/>
          <w:rtl w:val="0"/>
        </w:rPr>
      </w:pPr>
    </w:p>
    <w:p>
      <w:pPr>
        <w:pStyle w:val="P33"/>
        <w:framePr w:w="3839" w:h="480" w:hRule="exact" w:wrap="none" w:vAnchor="page" w:hAnchor="margin" w:x="6856" w:y="10434"/>
        <w:rPr>
          <w:rStyle w:val="C23"/>
          <w:rtl w:val="0"/>
        </w:rPr>
      </w:pPr>
      <w:r>
        <w:rPr>
          <w:rStyle w:val="C23"/>
          <w:rtl w:val="0"/>
        </w:rPr>
        <w:t>Ústní ověření</w:t>
      </w:r>
    </w:p>
    <w:p>
      <w:pPr>
        <w:pStyle w:val="P31"/>
        <w:framePr w:w="10710" w:h="248" w:hRule="exact" w:wrap="none" w:vAnchor="page" w:hAnchor="margin" w:x="28" w:y="11098"/>
        <w:rPr>
          <w:rStyle w:val="C22"/>
          <w:rtl w:val="0"/>
        </w:rPr>
      </w:pPr>
      <w:r>
        <w:rPr>
          <w:rStyle w:val="C22"/>
          <w:rtl w:val="0"/>
        </w:rPr>
        <w:t>Je třeba splnit obě kritéria.</w:t>
      </w:r>
    </w:p>
    <w:p>
      <w:pPr>
        <w:pStyle w:val="P24"/>
        <w:framePr w:w="10710" w:h="340" w:hRule="exact" w:wrap="none" w:vAnchor="page" w:hAnchor="margin" w:x="28" w:y="11534"/>
        <w:rPr>
          <w:rStyle w:val="C18"/>
          <w:rtl w:val="0"/>
        </w:rPr>
      </w:pPr>
      <w:r>
        <w:rPr>
          <w:rStyle w:val="C18"/>
          <w:rtl w:val="0"/>
        </w:rPr>
        <w:t>Výkup starožitností, orientace v komisním a aukčním prodeji</w:t>
      </w:r>
    </w:p>
    <w:p>
      <w:pPr>
        <w:pStyle w:val="P25"/>
        <w:framePr w:w="6713" w:h="376" w:hRule="exact" w:wrap="none" w:vAnchor="page" w:hAnchor="margin" w:x="45" w:y="11973"/>
        <w:rPr>
          <w:rStyle w:val="C3"/>
          <w:rtl w:val="0"/>
        </w:rPr>
      </w:pPr>
    </w:p>
    <w:p>
      <w:pPr>
        <w:pStyle w:val="P26"/>
        <w:framePr w:w="6661" w:h="249" w:hRule="exact" w:wrap="none" w:vAnchor="page" w:hAnchor="margin" w:x="71" w:y="12044"/>
        <w:rPr>
          <w:rStyle w:val="C19"/>
          <w:rtl w:val="0"/>
        </w:rPr>
      </w:pPr>
      <w:r>
        <w:rPr>
          <w:rStyle w:val="C19"/>
          <w:rtl w:val="0"/>
        </w:rPr>
        <w:t>Kritéria hodnocení</w:t>
      </w:r>
    </w:p>
    <w:p>
      <w:pPr>
        <w:pStyle w:val="P27"/>
        <w:framePr w:w="3918" w:h="376" w:hRule="exact" w:wrap="none" w:vAnchor="page" w:hAnchor="margin" w:x="6803" w:y="11973"/>
        <w:rPr>
          <w:rStyle w:val="C3"/>
          <w:rtl w:val="0"/>
        </w:rPr>
      </w:pPr>
    </w:p>
    <w:p>
      <w:pPr>
        <w:pStyle w:val="P28"/>
        <w:framePr w:w="3836" w:h="249" w:hRule="exact" w:wrap="none" w:vAnchor="page" w:hAnchor="margin" w:x="6859" w:y="12044"/>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Vysvětlit postupy, náležitosti a užití komisního prodeje</w:t>
      </w:r>
    </w:p>
    <w:p>
      <w:pPr>
        <w:pStyle w:val="P29"/>
        <w:framePr w:w="3921" w:h="376" w:hRule="exact" w:wrap="none" w:vAnchor="page" w:hAnchor="margin" w:x="6800" w:y="12350"/>
        <w:rPr>
          <w:rStyle w:val="C3"/>
          <w:rtl w:val="0"/>
        </w:rPr>
      </w:pPr>
    </w:p>
    <w:p>
      <w:pPr>
        <w:pStyle w:val="P30"/>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Vysvětlit postupy, náležitosti a užití aukčního prodeje</w:t>
      </w:r>
    </w:p>
    <w:p>
      <w:pPr>
        <w:pStyle w:val="P32"/>
        <w:framePr w:w="3921" w:h="376" w:hRule="exact" w:wrap="none" w:vAnchor="page" w:hAnchor="margin" w:x="6800" w:y="12726"/>
        <w:rPr>
          <w:rStyle w:val="C3"/>
          <w:rtl w:val="0"/>
        </w:rPr>
      </w:pPr>
    </w:p>
    <w:p>
      <w:pPr>
        <w:pStyle w:val="P33"/>
        <w:framePr w:w="3839" w:h="249" w:hRule="exact" w:wrap="none" w:vAnchor="page" w:hAnchor="margin" w:x="6856" w:y="12782"/>
        <w:rPr>
          <w:rStyle w:val="C23"/>
          <w:rtl w:val="0"/>
        </w:rPr>
      </w:pPr>
      <w:r>
        <w:rPr>
          <w:rStyle w:val="C23"/>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Předvést postupy, náležitosti a výkup určeného starožitného předmětu</w:t>
      </w:r>
    </w:p>
    <w:p>
      <w:pPr>
        <w:pStyle w:val="P29"/>
        <w:framePr w:w="3921" w:h="376" w:hRule="exact" w:wrap="none" w:vAnchor="page" w:hAnchor="margin" w:x="6800" w:y="13102"/>
        <w:rPr>
          <w:rStyle w:val="C3"/>
          <w:rtl w:val="0"/>
        </w:rPr>
      </w:pPr>
    </w:p>
    <w:p>
      <w:pPr>
        <w:pStyle w:val="P30"/>
        <w:framePr w:w="3839" w:h="249" w:hRule="exact" w:wrap="none" w:vAnchor="page" w:hAnchor="margin" w:x="6856" w:y="13158"/>
        <w:rPr>
          <w:rStyle w:val="C21"/>
          <w:rtl w:val="0"/>
        </w:rPr>
      </w:pPr>
      <w:r>
        <w:rPr>
          <w:rStyle w:val="C21"/>
          <w:rtl w:val="0"/>
        </w:rPr>
        <w:t>Praktické předvedení a ústní ověření</w:t>
      </w:r>
    </w:p>
    <w:p>
      <w:pPr>
        <w:pStyle w:val="P31"/>
        <w:framePr w:w="10710" w:h="248" w:hRule="exact" w:wrap="none" w:vAnchor="page" w:hAnchor="margin" w:x="28" w:y="1359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 15.6.2026 6:25:51</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2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ověřováníní odborných kompetencí podle tohoto hodnoticího standardu je zpracování a obhajoba písemné práce v rámci odborné způsobilosti Předvedení starožitného zboží před zákazníkem, určení doby vzniku, materiálového a technologického zpracování, užití.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uchazeči zadání písemné práce 2 měsíce před termínem zkoušky, tzn. uchazeč si vylosuje 1 téma písemné práce z následujícího seznamu témat a zároveň po dohodě s autorizovanou osobou specifikuje zadání tématu určením historického období a uměleckého slohu.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témat:</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Porcelán,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Kamenina a figurální předměty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Nábytek, jeho druhy,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Obecné a drahé kovy, jejich zpracování a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Zbraně, jejich druhy, vývoj,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Hodiny a hodinky v průběhu času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Drahé kameny, jejich druhy a uplatnění ve špercích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Móda (oblečení, doplňky), vývoj a užití s ohledem na časové období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České výtvarné umění a jeho návaznost na světové trendy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v elektronické a tištěné podobě s následujícími náležitostmi:</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písemné práce: 7‒10 normovaných strojopisných stran formátu A4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•Příloha: obrazová dokumentace (mimo stanovený rozsah písemné práce)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•Použitá literatura: její uvedení v závěru písemné práce</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všech odborných kompetencí podle tohoto hodnoticího standardu:</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594"/>
        <w:rPr>
          <w:rStyle w:val="C3"/>
          <w:rtl w:val="0"/>
        </w:rPr>
      </w:pPr>
    </w:p>
    <w:p>
      <w:pPr>
        <w:pStyle w:val="P37"/>
        <w:framePr w:w="10710" w:h="340" w:hRule="exact" w:wrap="none" w:vAnchor="page" w:hAnchor="margin" w:x="28" w:y="12594"/>
        <w:rPr>
          <w:rStyle w:val="C25"/>
          <w:rtl w:val="0"/>
        </w:rPr>
      </w:pPr>
      <w:r>
        <w:rPr>
          <w:rStyle w:val="C25"/>
          <w:rtl w:val="0"/>
        </w:rPr>
        <w:t>Výsledné hodnocení</w:t>
      </w:r>
    </w:p>
    <w:p>
      <w:pPr>
        <w:keepNext w:val="0"/>
        <w:keepLines w:val="0"/>
        <w:framePr w:w="10766" w:h="1497" w:hRule="exact" w:wrap="none" w:vAnchor="page" w:hAnchor="margin" w:x="0" w:y="12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Starožitník, 15.6.2026 6:25:51</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7891"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starožitnictví a alespoň 5 let odborné praxe v provozovně starožitnictví.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a alespoň 5 let odborné praxe v oblasti starožitnictví nebo muzejnictví.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66-022-M Starožitník a alespoň 5 let odborné praxe v oblasti starožitnictví.</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Starožitník, 15.6.2026 6:25:51</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6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542"/>
        <w:rPr>
          <w:rStyle w:val="C3"/>
          <w:rtl w:val="0"/>
        </w:rPr>
      </w:pPr>
    </w:p>
    <w:p>
      <w:pPr>
        <w:pStyle w:val="P37"/>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914"/>
        <w:rPr>
          <w:rStyle w:val="C3"/>
          <w:rtl w:val="0"/>
        </w:rPr>
      </w:pPr>
    </w:p>
    <w:p>
      <w:pPr>
        <w:pStyle w:val="P37"/>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Starožitník, 15.6.2026 6:25:51</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 sdružení pro umělecká řemesla, Roztoky u Prahy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Lipský Jan, 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Červená Milena, Mgr.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Muller Štěpán, MgA.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Hokeová Klára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Starožitník, 15.6.2026 6:25:51</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FB3D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4859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039A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C6321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D17447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6A47EF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5FCEAD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