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005188" Type="http://schemas.openxmlformats.org/officeDocument/2006/relationships/officeDocument" Target="/word/document.xml" /><Relationship Id="coreR47005188" Type="http://schemas.openxmlformats.org/package/2006/relationships/metadata/core-properties" Target="/docProps/core.xml" /><Relationship Id="customR470051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Starožitník/starožitnice (kód: 66-022-M)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Starožitník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se zákazníkem s využitím odborných znalostí z dějin umění a užitého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Předvedení starožitného zboží před zákazníkem, určení doby vzniku, materiálového a technologického zpracování, užití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obchodní a prodejní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Ošetřování a uložení zboží z hlediska různého starožitného sortimentu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výpočetní techniky a internetu k prodeji v kamenných obchodech a e-shopech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 xml:space="preserve">Balení a expedice zboží s ohledem na jedinečnost sortimentu  v provozovně starožitnictví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Aranžování zboží na prodejně, prodejních výstavách, veletrzích a aukcích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Komunikace s úřady, práce s legislativou a obecně platnými předpisy, uplatňování pravidel vývozu a dovozu zboží v rámci EU a mimo ni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94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 předmětů k opravám a restaurování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Kvalitativní a kvantitativní posuzování zboží při výkupu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Výkup starožitností, orientace v komisním a aukčním prodeji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21.10.2022 do: 28.02.2023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7.11.2026 17:57:24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21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ověřováníní odborných kompetencí podle tohoto hodnoticího standardu je zpracování a obhajoba písemné práce v rámci odborné způsobilosti Předvedení starožitného zboží před zákazníkem, určení doby vzniku, materiálového a technologického zpracování, užití.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uchazeči zadání písemné práce 2 měsíce před termínem zkoušky, tzn. uchazeč si vylosuje 1 téma písemné práce z následujícího seznamu témat a zároveň po dohodě s autorizovanou osobou specifikuje zadání tématu určením historického období a uměleckého slohu. 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témat: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Porcelán, jeho výroba, vývoj a zpracování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Sklo, jeho výroba, vývoj a zpracování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Kamenina a figurální předměty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Nábytek, jeho druhy, zpracování, užití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Obecné a drahé kovy, jejich zpracování a užití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Zbraně, jejich druhy, vývoj, zpracování, užití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Hodiny a hodinky v průběhu času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Drahé kameny, jejich druhy a uplatnění ve špercích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Móda (oblečení, doplňky), vývoj a užití s ohledem na časové období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České výtvarné umění a jeho návaznost na světové trendy 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předloží autorizované osobě nejpozději 21 dní před termínem konání zkoušky podle tohoto hodnoticího standardu písemnou práci v elektronické a tištěné podobě s následujícími náležitostmi: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Rozsah písemné práce: 7‒10 normovaných strojopisných stran formátu A4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Příloha: obrazová dokumentace (mimo stanovený rozsah písemné práce)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Použitá literatura: její uvedení v závěru písemné práce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ke zkoušce, tj. k ověření všech odborných kompetencí podle tohoto hodnoticího standardu: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prodejní a obchodní dokumentace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kusů předmětů uměleckořemeslného nebo starožitného charakteru z různých materiálů (nábytek, sklo, porcelán a keramika, šperk, předmět z kovu a textilu, výtvarné umění), každý předmět lze použít pro ověření více kritérií (určení doby vzniku, ošetření a uložení zboží, balení a aranžování, výběr předmětů k opravám a restaurování).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7.11.2026 17:57:24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 - sdružení pro umělecká řemesla, Roztoky u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Lipský Jan, Ing.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Červená Milena, Mgr.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Muller Štěpán, MgA.,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Hokeová Klára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7.11.2026 17:57:24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5752C54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464CD80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D4397F8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