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E425B9" Type="http://schemas.openxmlformats.org/officeDocument/2006/relationships/officeDocument" Target="/word/document.xml" /><Relationship Id="coreR32E425B9" Type="http://schemas.openxmlformats.org/package/2006/relationships/metadata/core-properties" Target="/docProps/core.xml" /><Relationship Id="customR32E425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uměleckých předmětů (kód: 66-023-H)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 uměleckých předmětů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komisním a aukčním prodeji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12:56:01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Komunikace se zákazníkem s využitím odborných znalostí z dějin umění a užitého umění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modelový prodejní rozhovor na určené téma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3"/>
        <w:framePr w:w="10710" w:h="547" w:hRule="exact" w:wrap="none" w:vAnchor="page" w:hAnchor="margin" w:x="28" w:y="4453"/>
        <w:rPr>
          <w:rStyle w:val="C18"/>
          <w:rtl w:val="0"/>
        </w:rPr>
      </w:pPr>
      <w:r>
        <w:rPr>
          <w:rStyle w:val="C18"/>
          <w:rtl w:val="0"/>
        </w:rPr>
        <w:t>Předvedení starožitného zboží před zákazníkem, určení doby vzniku, materiálového a technologického zpracování, užití</w:t>
      </w:r>
    </w:p>
    <w:p>
      <w:pPr>
        <w:pStyle w:val="P24"/>
        <w:framePr w:w="6713" w:h="376" w:hRule="exact" w:wrap="none" w:vAnchor="page" w:hAnchor="margin" w:x="45" w:y="50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31"/>
        <w:rPr>
          <w:rStyle w:val="C11"/>
          <w:rtl w:val="0"/>
        </w:rPr>
      </w:pPr>
      <w:r>
        <w:rPr>
          <w:rStyle w:val="C11"/>
          <w:rtl w:val="0"/>
        </w:rPr>
        <w:t>a) Popsat předložený starožitný předmět z hlediska uměleckého zpracování,</w:t>
        <w:br w:type="textWrapping"/>
        <w:t>doby vzniku, postupu výroby a použitých materiálů</w:t>
      </w:r>
    </w:p>
    <w:p>
      <w:pPr>
        <w:pStyle w:val="P28"/>
        <w:framePr w:w="3921" w:h="607" w:hRule="exact" w:wrap="none" w:vAnchor="page" w:hAnchor="margin" w:x="6800" w:y="5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0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38"/>
        <w:rPr>
          <w:rStyle w:val="C13"/>
          <w:rtl w:val="0"/>
        </w:rPr>
      </w:pPr>
      <w:r>
        <w:rPr>
          <w:rStyle w:val="C13"/>
          <w:rtl w:val="0"/>
        </w:rPr>
        <w:t>b) Předvést modelovou situaci seznámení zákazníka s funkčností</w:t>
        <w:br w:type="textWrapping"/>
        <w:t>předloženého starožitného předmětu s ohledem na jeho jedinečnost a</w:t>
        <w:br w:type="textWrapping"/>
        <w:t>způsoby jeho užití</w:t>
      </w:r>
    </w:p>
    <w:p>
      <w:pPr>
        <w:pStyle w:val="P31"/>
        <w:framePr w:w="3921" w:h="831" w:hRule="exact" w:wrap="none" w:vAnchor="page" w:hAnchor="margin" w:x="6800" w:y="6082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6138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7027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462"/>
        <w:rPr>
          <w:rStyle w:val="C18"/>
          <w:rtl w:val="0"/>
        </w:rPr>
      </w:pPr>
      <w:r>
        <w:rPr>
          <w:rStyle w:val="C18"/>
          <w:rtl w:val="0"/>
        </w:rPr>
        <w:t>Vedení prodejní dokumentace</w:t>
      </w:r>
    </w:p>
    <w:p>
      <w:pPr>
        <w:pStyle w:val="P24"/>
        <w:framePr w:w="6713" w:h="376" w:hRule="exact" w:wrap="none" w:vAnchor="page" w:hAnchor="margin" w:x="45" w:y="79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34"/>
        <w:rPr>
          <w:rStyle w:val="C11"/>
          <w:rtl w:val="0"/>
        </w:rPr>
      </w:pPr>
      <w:r>
        <w:rPr>
          <w:rStyle w:val="C11"/>
          <w:rtl w:val="0"/>
        </w:rPr>
        <w:t>a) Uvést a vysvětlit druhy evidence zboží</w:t>
      </w:r>
    </w:p>
    <w:p>
      <w:pPr>
        <w:pStyle w:val="P28"/>
        <w:framePr w:w="3921" w:h="376" w:hRule="exact" w:wrap="none" w:vAnchor="page" w:hAnchor="margin" w:x="6800" w:y="82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10"/>
        <w:rPr>
          <w:rStyle w:val="C13"/>
          <w:rtl w:val="0"/>
        </w:rPr>
      </w:pPr>
      <w:r>
        <w:rPr>
          <w:rStyle w:val="C13"/>
          <w:rtl w:val="0"/>
        </w:rPr>
        <w:t>b) Rozlišit a popsat předloženou dokumentaci hotovostního a bezhotovostního prodeje</w:t>
      </w:r>
    </w:p>
    <w:p>
      <w:pPr>
        <w:pStyle w:val="P31"/>
        <w:framePr w:w="3921" w:h="607" w:hRule="exact" w:wrap="none" w:vAnchor="page" w:hAnchor="margin" w:x="6800" w:y="865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8710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7"/>
        <w:rPr>
          <w:rStyle w:val="C11"/>
          <w:rtl w:val="0"/>
        </w:rPr>
      </w:pPr>
      <w:r>
        <w:rPr>
          <w:rStyle w:val="C11"/>
          <w:rtl w:val="0"/>
        </w:rPr>
        <w:t>c) Rozlišit a určit druhy předložených certifikátů pravosti, vysvětlit jejich význam</w:t>
      </w:r>
    </w:p>
    <w:p>
      <w:pPr>
        <w:pStyle w:val="P28"/>
        <w:framePr w:w="3921" w:h="607" w:hRule="exact" w:wrap="none" w:vAnchor="page" w:hAnchor="margin" w:x="6800" w:y="92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998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17"/>
        <w:rPr>
          <w:rStyle w:val="C18"/>
          <w:rtl w:val="0"/>
        </w:rPr>
      </w:pPr>
      <w:r>
        <w:rPr>
          <w:rStyle w:val="C18"/>
          <w:rtl w:val="0"/>
        </w:rPr>
        <w:t>Přijímání hotovostních a bezhotovostních plateb a obsluha pokladny</w:t>
      </w:r>
    </w:p>
    <w:p>
      <w:pPr>
        <w:pStyle w:val="P24"/>
        <w:framePr w:w="6713" w:h="376" w:hRule="exact" w:wrap="none" w:vAnchor="page" w:hAnchor="margin" w:x="45" w:y="108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2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288"/>
        <w:rPr>
          <w:rStyle w:val="C11"/>
          <w:rtl w:val="0"/>
        </w:rPr>
      </w:pPr>
      <w:r>
        <w:rPr>
          <w:rStyle w:val="C11"/>
          <w:rtl w:val="0"/>
        </w:rPr>
        <w:t>a) Popsat a předvést modelovou situaci jednotlivých fází hotovostní platby (práce s pokladnou, ověřit platnost bankovek, znalost ochranných prvků, přepočet kurzu při platbě cizí měnou, vystavení pokladního dokladu)</w:t>
      </w:r>
    </w:p>
    <w:p>
      <w:pPr>
        <w:pStyle w:val="P28"/>
        <w:framePr w:w="3921" w:h="831" w:hRule="exact" w:wrap="none" w:vAnchor="page" w:hAnchor="margin" w:x="6800" w:y="112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2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0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119"/>
        <w:rPr>
          <w:rStyle w:val="C13"/>
          <w:rtl w:val="0"/>
        </w:rPr>
      </w:pPr>
      <w:r>
        <w:rPr>
          <w:rStyle w:val="C13"/>
          <w:rtl w:val="0"/>
        </w:rPr>
        <w:t>b) Popsat a předvést modelovou situaci jednotlivých fází bezhotovostní platby (manipulace a identifikace platební karty, evidence dokladů o bezhotovostních platbách, vystavení pokladního dokladu)</w:t>
      </w:r>
    </w:p>
    <w:p>
      <w:pPr>
        <w:pStyle w:val="P31"/>
        <w:framePr w:w="3921" w:h="831" w:hRule="exact" w:wrap="none" w:vAnchor="page" w:hAnchor="margin" w:x="6800" w:y="12063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2119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13008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12:56:01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uložení zboží z hlediska různého starožitného sortimentu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manipulaci s předmětem z kovu (oceli, barevných kovů, drahých kovů) a popsat způsoby jeho ošetření a uložení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manipulaci s předmětem ze dřeva a popsat způsoby jeho ošetření a uložení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manipulaci s předmětem ze silikátu (sklo, porcelán, keramika) a popsat způsoby jeho ošetření a uložení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manipulaci s předmětem z textilu a papíru a popsat způsoby jeho ošetření a uložení</w:t>
      </w:r>
    </w:p>
    <w:p>
      <w:pPr>
        <w:pStyle w:val="P31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846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Předvést manipulaci s předmětem výtvarného umění a popsat způsoby jeho ošetření a uložení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6117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53"/>
        <w:rPr>
          <w:rStyle w:val="C18"/>
          <w:rtl w:val="0"/>
        </w:rPr>
      </w:pPr>
      <w:r>
        <w:rPr>
          <w:rStyle w:val="C18"/>
          <w:rtl w:val="0"/>
        </w:rPr>
        <w:t>Využívání výpočetní techniky a internetu k prodeji v kamenných obchodech a e-shopech</w:t>
      </w:r>
    </w:p>
    <w:p>
      <w:pPr>
        <w:pStyle w:val="P24"/>
        <w:framePr w:w="6713" w:h="376" w:hRule="exact" w:wrap="none" w:vAnchor="page" w:hAnchor="margin" w:x="45" w:y="69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a) Předvést vyhledání předmětu starožitného charakteru na internetu</w:t>
      </w:r>
    </w:p>
    <w:p>
      <w:pPr>
        <w:pStyle w:val="P28"/>
        <w:framePr w:w="3921" w:h="376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Předvést provedení nabídky předmětu starožitného charakteru na internetu</w:t>
      </w:r>
    </w:p>
    <w:p>
      <w:pPr>
        <w:pStyle w:val="P31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801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8"/>
        <w:rPr>
          <w:rStyle w:val="C11"/>
          <w:rtl w:val="0"/>
        </w:rPr>
      </w:pPr>
      <w:r>
        <w:rPr>
          <w:rStyle w:val="C11"/>
          <w:rtl w:val="0"/>
        </w:rPr>
        <w:t>c) Popsat jiné formy využití výpočetní techniky při prodeji starožitností</w:t>
      </w:r>
    </w:p>
    <w:p>
      <w:pPr>
        <w:pStyle w:val="P28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884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 xml:space="preserve">Balení a expedice zboží s ohledem na jedinečnost sortimentu  v provozovně starožitnictví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Předvést balení a expedici předloženého předmětu ze skla a porcelánu</w:t>
      </w:r>
    </w:p>
    <w:p>
      <w:pPr>
        <w:pStyle w:val="P28"/>
        <w:framePr w:w="3921" w:h="376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25"/>
        <w:rPr>
          <w:rStyle w:val="C13"/>
          <w:rtl w:val="0"/>
        </w:rPr>
      </w:pPr>
      <w:r>
        <w:rPr>
          <w:rStyle w:val="C13"/>
          <w:rtl w:val="0"/>
        </w:rPr>
        <w:t>b) Předvést balení a expedici předmětu nepravidelného tvaru</w:t>
      </w:r>
    </w:p>
    <w:p>
      <w:pPr>
        <w:pStyle w:val="P31"/>
        <w:framePr w:w="3921" w:h="376" w:hRule="exact" w:wrap="none" w:vAnchor="page" w:hAnchor="margin" w:x="6800" w:y="1046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525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c) Předvést dárkové balení předloženého předmětu</w:t>
      </w:r>
    </w:p>
    <w:p>
      <w:pPr>
        <w:pStyle w:val="P28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d) Popsat balení a expedici předmětu větších rozměrů</w:t>
      </w:r>
    </w:p>
    <w:p>
      <w:pPr>
        <w:pStyle w:val="P31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27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171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6"/>
        <w:rPr>
          <w:rStyle w:val="C18"/>
          <w:rtl w:val="0"/>
        </w:rPr>
      </w:pPr>
      <w:r>
        <w:rPr>
          <w:rStyle w:val="C18"/>
          <w:rtl w:val="0"/>
        </w:rPr>
        <w:t>Aranžování zboží na prodejně, prodejních výstavách, veletrzích a aukcích</w:t>
      </w:r>
    </w:p>
    <w:p>
      <w:pPr>
        <w:pStyle w:val="P24"/>
        <w:framePr w:w="6713" w:h="376" w:hRule="exact" w:wrap="none" w:vAnchor="page" w:hAnchor="margin" w:x="45" w:y="12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8"/>
        <w:rPr>
          <w:rStyle w:val="C11"/>
          <w:rtl w:val="0"/>
        </w:rPr>
      </w:pPr>
      <w:r>
        <w:rPr>
          <w:rStyle w:val="C11"/>
          <w:rtl w:val="0"/>
        </w:rPr>
        <w:t>a) Předvést aranžování zboží v prodejně s ohledem na specifika materiálu, vysvětlit zvláštnosti</w:t>
      </w:r>
    </w:p>
    <w:p>
      <w:pPr>
        <w:pStyle w:val="P28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25"/>
        <w:rPr>
          <w:rStyle w:val="C13"/>
          <w:rtl w:val="0"/>
        </w:rPr>
      </w:pPr>
      <w:r>
        <w:rPr>
          <w:rStyle w:val="C13"/>
          <w:rtl w:val="0"/>
        </w:rPr>
        <w:t>b) Popsat zvláštnosti aranžování zboží na výstavách a veletrzích s ohledem na specifika materiálu</w:t>
      </w:r>
    </w:p>
    <w:p>
      <w:pPr>
        <w:pStyle w:val="P31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625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32"/>
        <w:rPr>
          <w:rStyle w:val="C11"/>
          <w:rtl w:val="0"/>
        </w:rPr>
      </w:pPr>
      <w:r>
        <w:rPr>
          <w:rStyle w:val="C11"/>
          <w:rtl w:val="0"/>
        </w:rPr>
        <w:t>c) Popsat zvláštnosti aranžování zboží na aukcích s ohledem na specifika materiálu</w:t>
      </w:r>
    </w:p>
    <w:p>
      <w:pPr>
        <w:pStyle w:val="P28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489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12:56:01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komisním a aukčním prodeji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postupy a užití komisního prodeje a výkupu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postupy a užití aukčního prodeje</w:t>
      </w:r>
    </w:p>
    <w:p>
      <w:pPr>
        <w:pStyle w:val="P31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402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3836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12:56:01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odborných způsobilostí podle tohoto hodnoticího standardu: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různé druhy certifikátů pravosti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Předvedení starožitného zboží před zákazníkem, rámcové stanovení doby vzniku, určení materiálového a technologického zpracování, užití, Ošetřování a uložení zboží z hlediska různého starožitného sortimentu, Aranžování zboží na prodejně, prodejních výstavách, veletrzích a aukcích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 (nábytek, sklo, porcelán a keramika, šperk, předmět z kovu a textilu, výtvarné umění). Každý předmět může být použit pro ověření i více kritérií (určení doby vzniku, ošetření a uložení zboží, balení a aranžování, výběr předmětů k opravám a restaurování).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Balení a expedice zboží s ohledem na jedinečnost různého starožitného sortimentu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balící prostředky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12:56:01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612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8323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starožitnictví a nejméně 5 let odborné praxe v oblasti starožitnictví nebo praxi v prodeji uměleckých či uměleckořemeslných předmětů.</w:t>
      </w:r>
    </w:p>
    <w:p>
      <w:pPr>
        <w:keepNext w:val="0"/>
        <w:keepLines w:val="1"/>
        <w:framePr w:w="10766" w:h="4065" w:hRule="exact" w:wrap="none" w:vAnchor="page" w:hAnchor="margin" w:x="0" w:y="8323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dějiny umění a nejméně 5 let odborné praxe v oblasti starožitnictví nebo praxi v prodeji uměleckých či uměleckořemeslných předmětů. </w:t>
      </w:r>
    </w:p>
    <w:p>
      <w:pPr>
        <w:keepNext w:val="0"/>
        <w:keepLines w:val="1"/>
        <w:framePr w:w="10766" w:h="4065" w:hRule="exact" w:wrap="none" w:vAnchor="page" w:hAnchor="margin" w:x="0" w:y="8323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66-023-H Prodavač/prodavačka uměleckých předmětů a nejméně 5 let odborné praxe v oblasti starožitnictví nebo v prodeji uměleckých či uměleckořemeslných předmětů.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12:56:01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4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prodejny se starožitnostmi nebo prodejní galerie s běžným vybavením odpovídající bezpečnostním požadavkům a hygienickým limitům na pracovní prostředí a pracoviště s: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tiskárnou připojený k internetu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 a papír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a obchodní dokumentace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ks předmětů uměleckořemeslného nebo starožitného charakteru z různých materiálů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technicko-administrativní prostředky nutné k provozu pokladny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měna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čtecí a identifikační zařízení karet</w:t>
      </w:r>
    </w:p>
    <w:p>
      <w:pPr>
        <w:keepNext w:val="0"/>
        <w:keepLines w:val="0"/>
        <w:framePr w:w="10766" w:h="54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jednotlivých kritérií hodnocení autorizovaná osoba připraví: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ukázky prodejní dokumentace 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 (nábytek, sklo, porcelán a keramika, šperk, předmět z kovu a textilu, výtvarné umění). Každý předmět může být použit pro ověření i více kritérií (určení doby vzniku, ošetření a uložení zboží, balení a aranžování, výběr předmětů k opravám a restaurování)</w:t>
      </w:r>
    </w:p>
    <w:p>
      <w:pPr>
        <w:keepNext w:val="0"/>
        <w:keepLines w:val="0"/>
        <w:framePr w:w="10766" w:h="54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81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3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4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7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0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12:56:01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6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16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starožitníků,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12:56:01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F351D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13C130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76E992D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0AF2DA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0373C6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10414A67"/>
    <w:multiLevelType w:val="hybridMultilevel"/>
    <w:lvl w:ilvl="0" w:tplc="0000012D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2E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2F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30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31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32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33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34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35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6">
    <w:nsid w:val="7FC331E8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672BD71B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