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219880" Type="http://schemas.openxmlformats.org/officeDocument/2006/relationships/officeDocument" Target="/word/document.xml" /><Relationship Id="coreR63219880" Type="http://schemas.openxmlformats.org/package/2006/relationships/metadata/core-properties" Target="/docProps/core.xml" /><Relationship Id="customR632198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uměleckých předmětů (kód: 66-023-H)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 uměleckých předmětů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komisním a aukčním prodeji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30.9.2026 1:47:56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odborných způsobilostí podle tohoto hodnoticího standardu: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prodejní dokumentace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dokumentace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různé druhy certifikátů pravosti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Předvedení starožitného zboží před zákazníkem, rámcové stanovení doby vzniku, určení materiálového a technologického zpracování, užití, Ošetřování a uložení zboží z hlediska různého starožitného sortimentu, Aranžování zboží na prodejně, prodejních výstavách, veletrzích a aukcích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 (nábytek, sklo, porcelán a keramika, šperk, předmět z kovu a textilu, výtvarné umění). Každý předmět může být použit pro ověření i více kritérií (určení doby vzniku, ošetření a uložení zboží, balení a aranžování, výběr předmětů k opravám a restaurování).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Balení a expedice zboží s ohledem na jedinečnost různého starožitného sortimentu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balící prostředky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30.9.2026 1:47:56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6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16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starožitníků, o.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30.9.2026 1:47:56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B4B9A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54ACFD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ACE15C3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