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207FA" Type="http://schemas.openxmlformats.org/officeDocument/2006/relationships/officeDocument" Target="/word/document.xml" /><Relationship Id="coreR420207FA" Type="http://schemas.openxmlformats.org/package/2006/relationships/metadata/core-properties" Target="/docProps/core.xml" /><Relationship Id="customR420207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20"/>
        <w:framePr w:w="9826" w:h="376" w:hRule="exact" w:wrap="none" w:vAnchor="page" w:hAnchor="margin" w:x="45" w:y="8860"/>
        <w:rPr>
          <w:rStyle w:val="C3"/>
          <w:rtl w:val="0"/>
        </w:rPr>
      </w:pPr>
    </w:p>
    <w:p>
      <w:pPr>
        <w:pStyle w:val="P20"/>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1"/>
        <w:framePr w:w="4283" w:h="248" w:hRule="exact" w:wrap="none" w:vAnchor="page" w:hAnchor="margin" w:x="28" w:y="9803"/>
        <w:rPr>
          <w:rStyle w:val="C15"/>
          <w:rtl w:val="0"/>
        </w:rPr>
      </w:pPr>
      <w:r>
        <w:rPr>
          <w:rStyle w:val="C15"/>
          <w:rtl w:val="0"/>
        </w:rPr>
        <w:t>Standard je platný od: 19.06.2020 do: 28.02.2023</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w:t>
        <w:br w:type="textWrapping"/>
        <w:t>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w:t>
        <w:br w:type="textWrapping"/>
        <w:t>předloženého starožitného předmětu s ohledem na jeho jedinečnost a</w:t>
        <w:br w:type="textWrapping"/>
        <w:t>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31"/>
        <w:framePr w:w="10710" w:h="248" w:hRule="exact" w:wrap="none" w:vAnchor="page" w:hAnchor="margin" w:x="28" w:y="7027"/>
        <w:rPr>
          <w:rStyle w:val="C22"/>
          <w:rtl w:val="0"/>
        </w:rPr>
      </w:pPr>
      <w:r>
        <w:rPr>
          <w:rStyle w:val="C22"/>
          <w:rtl w:val="0"/>
        </w:rPr>
        <w:t>Je třeba splnit obě kritéria.</w:t>
      </w:r>
    </w:p>
    <w:p>
      <w:pPr>
        <w:pStyle w:val="P24"/>
        <w:framePr w:w="10710" w:h="340" w:hRule="exact" w:wrap="none" w:vAnchor="page" w:hAnchor="margin" w:x="28" w:y="7462"/>
        <w:rPr>
          <w:rStyle w:val="C18"/>
          <w:rtl w:val="0"/>
        </w:rPr>
      </w:pPr>
      <w:r>
        <w:rPr>
          <w:rStyle w:val="C18"/>
          <w:rtl w:val="0"/>
        </w:rPr>
        <w:t>Vedení prodejní dokumentace</w:t>
      </w:r>
    </w:p>
    <w:p>
      <w:pPr>
        <w:pStyle w:val="P25"/>
        <w:framePr w:w="6713" w:h="376" w:hRule="exact" w:wrap="none" w:vAnchor="page" w:hAnchor="margin" w:x="45" w:y="7902"/>
        <w:rPr>
          <w:rStyle w:val="C3"/>
          <w:rtl w:val="0"/>
        </w:rPr>
      </w:pPr>
    </w:p>
    <w:p>
      <w:pPr>
        <w:pStyle w:val="P26"/>
        <w:framePr w:w="6661" w:h="249" w:hRule="exact" w:wrap="none" w:vAnchor="page" w:hAnchor="margin" w:x="71" w:y="7973"/>
        <w:rPr>
          <w:rStyle w:val="C19"/>
          <w:rtl w:val="0"/>
        </w:rPr>
      </w:pPr>
      <w:r>
        <w:rPr>
          <w:rStyle w:val="C19"/>
          <w:rtl w:val="0"/>
        </w:rPr>
        <w:t>Kritéria hodnocení</w:t>
      </w:r>
    </w:p>
    <w:p>
      <w:pPr>
        <w:pStyle w:val="P27"/>
        <w:framePr w:w="3918" w:h="376" w:hRule="exact" w:wrap="none" w:vAnchor="page" w:hAnchor="margin" w:x="6803" w:y="7902"/>
        <w:rPr>
          <w:rStyle w:val="C3"/>
          <w:rtl w:val="0"/>
        </w:rPr>
      </w:pPr>
    </w:p>
    <w:p>
      <w:pPr>
        <w:pStyle w:val="P28"/>
        <w:framePr w:w="3836" w:h="249" w:hRule="exact" w:wrap="none" w:vAnchor="page" w:hAnchor="margin" w:x="6859" w:y="7973"/>
        <w:rPr>
          <w:rStyle w:val="C20"/>
          <w:rtl w:val="0"/>
        </w:rPr>
      </w:pPr>
      <w:r>
        <w:rPr>
          <w:rStyle w:val="C20"/>
          <w:rtl w:val="0"/>
        </w:rPr>
        <w:t>Způsoby ověření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a) Uvést a vysvětlit druhy evidence zboží</w:t>
      </w:r>
    </w:p>
    <w:p>
      <w:pPr>
        <w:pStyle w:val="P29"/>
        <w:framePr w:w="3921" w:h="376" w:hRule="exact" w:wrap="none" w:vAnchor="page" w:hAnchor="margin" w:x="6800" w:y="8278"/>
        <w:rPr>
          <w:rStyle w:val="C3"/>
          <w:rtl w:val="0"/>
        </w:rPr>
      </w:pPr>
    </w:p>
    <w:p>
      <w:pPr>
        <w:pStyle w:val="P30"/>
        <w:framePr w:w="3839" w:h="249" w:hRule="exact" w:wrap="none" w:vAnchor="page" w:hAnchor="margin" w:x="6856" w:y="8334"/>
        <w:rPr>
          <w:rStyle w:val="C21"/>
          <w:rtl w:val="0"/>
        </w:rPr>
      </w:pPr>
      <w:r>
        <w:rPr>
          <w:rStyle w:val="C21"/>
          <w:rtl w:val="0"/>
        </w:rPr>
        <w:t>Ústní ověření</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8654"/>
        <w:rPr>
          <w:rStyle w:val="C3"/>
          <w:rtl w:val="0"/>
        </w:rPr>
      </w:pPr>
    </w:p>
    <w:p>
      <w:pPr>
        <w:pStyle w:val="P33"/>
        <w:framePr w:w="3839" w:h="480" w:hRule="exact" w:wrap="none" w:vAnchor="page" w:hAnchor="margin" w:x="6856" w:y="8710"/>
        <w:rPr>
          <w:rStyle w:val="C23"/>
          <w:rtl w:val="0"/>
        </w:rPr>
      </w:pPr>
      <w:r>
        <w:rPr>
          <w:rStyle w:val="C23"/>
          <w:rtl w:val="0"/>
        </w:rPr>
        <w:t>Praktické předvedení a ústní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261"/>
        <w:rPr>
          <w:rStyle w:val="C3"/>
          <w:rtl w:val="0"/>
        </w:rPr>
      </w:pPr>
    </w:p>
    <w:p>
      <w:pPr>
        <w:pStyle w:val="P30"/>
        <w:framePr w:w="3839" w:h="480" w:hRule="exact" w:wrap="none" w:vAnchor="page" w:hAnchor="margin" w:x="6856" w:y="9317"/>
        <w:rPr>
          <w:rStyle w:val="C21"/>
          <w:rtl w:val="0"/>
        </w:rPr>
      </w:pPr>
      <w:r>
        <w:rPr>
          <w:rStyle w:val="C21"/>
          <w:rtl w:val="0"/>
        </w:rPr>
        <w:t>Praktické předvedení a ústní ověření</w:t>
      </w:r>
    </w:p>
    <w:p>
      <w:pPr>
        <w:pStyle w:val="P31"/>
        <w:framePr w:w="10710" w:h="248" w:hRule="exact" w:wrap="none" w:vAnchor="page" w:hAnchor="margin" w:x="28" w:y="9981"/>
        <w:rPr>
          <w:rStyle w:val="C22"/>
          <w:rtl w:val="0"/>
        </w:rPr>
      </w:pPr>
      <w:r>
        <w:rPr>
          <w:rStyle w:val="C22"/>
          <w:rtl w:val="0"/>
        </w:rPr>
        <w:t>Je třeba splnit všechna kritéria.</w:t>
      </w:r>
    </w:p>
    <w:p>
      <w:pPr>
        <w:pStyle w:val="P24"/>
        <w:framePr w:w="10710" w:h="340" w:hRule="exact" w:wrap="none" w:vAnchor="page" w:hAnchor="margin" w:x="28" w:y="10417"/>
        <w:rPr>
          <w:rStyle w:val="C18"/>
          <w:rtl w:val="0"/>
        </w:rPr>
      </w:pPr>
      <w:r>
        <w:rPr>
          <w:rStyle w:val="C18"/>
          <w:rtl w:val="0"/>
        </w:rPr>
        <w:t>Přijímání hotovostních a bezhotovostních plateb a obsluha pokladny</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9"/>
          <w:rtl w:val="0"/>
        </w:rPr>
      </w:pPr>
      <w:r>
        <w:rPr>
          <w:rStyle w:val="C19"/>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20"/>
          <w:rtl w:val="0"/>
        </w:rPr>
      </w:pPr>
      <w:r>
        <w:rPr>
          <w:rStyle w:val="C20"/>
          <w:rtl w:val="0"/>
        </w:rPr>
        <w:t>Způsoby ověření</w:t>
      </w:r>
    </w:p>
    <w:p>
      <w:pPr>
        <w:pStyle w:val="P12"/>
        <w:framePr w:w="6710" w:h="1055" w:hRule="exact" w:wrap="none" w:vAnchor="page" w:hAnchor="margin" w:x="45" w:y="11232"/>
        <w:rPr>
          <w:rStyle w:val="C3"/>
          <w:rtl w:val="0"/>
        </w:rPr>
      </w:pPr>
    </w:p>
    <w:p>
      <w:pPr>
        <w:pStyle w:val="P13"/>
        <w:framePr w:w="6658" w:h="928" w:hRule="exact" w:wrap="none" w:vAnchor="page" w:hAnchor="margin" w:x="71" w:y="11288"/>
        <w:rPr>
          <w:rStyle w:val="C11"/>
          <w:rtl w:val="0"/>
        </w:rPr>
      </w:pPr>
      <w:r>
        <w:rPr>
          <w:rStyle w:val="C11"/>
          <w:rtl w:val="0"/>
        </w:rPr>
        <w:t>a) Popsat a předvést modelovou situaci jednotlivých fází hotovostní platby (práce s pokladnou, znalost EET, ověřit platnost bankovek, znalost ochranných prvků, přepočet kurzu při platbě cizí měnou, vystavení pokladního dokladu)</w:t>
      </w:r>
    </w:p>
    <w:p>
      <w:pPr>
        <w:pStyle w:val="P29"/>
        <w:framePr w:w="3921" w:h="1055" w:hRule="exact" w:wrap="none" w:vAnchor="page" w:hAnchor="margin" w:x="6800" w:y="11232"/>
        <w:rPr>
          <w:rStyle w:val="C3"/>
          <w:rtl w:val="0"/>
        </w:rPr>
      </w:pPr>
    </w:p>
    <w:p>
      <w:pPr>
        <w:pStyle w:val="P30"/>
        <w:framePr w:w="3839" w:h="928" w:hRule="exact" w:wrap="none" w:vAnchor="page" w:hAnchor="margin" w:x="6856" w:y="11288"/>
        <w:rPr>
          <w:rStyle w:val="C21"/>
          <w:rtl w:val="0"/>
        </w:rPr>
      </w:pPr>
      <w:r>
        <w:rPr>
          <w:rStyle w:val="C21"/>
          <w:rtl w:val="0"/>
        </w:rPr>
        <w:t>Praktické předvedení a ústní ověření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2288"/>
        <w:rPr>
          <w:rStyle w:val="C3"/>
          <w:rtl w:val="0"/>
        </w:rPr>
      </w:pPr>
    </w:p>
    <w:p>
      <w:pPr>
        <w:pStyle w:val="P33"/>
        <w:framePr w:w="3839" w:h="704" w:hRule="exact" w:wrap="none" w:vAnchor="page" w:hAnchor="margin" w:x="6856" w:y="12344"/>
        <w:rPr>
          <w:rStyle w:val="C23"/>
          <w:rtl w:val="0"/>
        </w:rPr>
      </w:pPr>
      <w:r>
        <w:rPr>
          <w:rStyle w:val="C23"/>
          <w:rtl w:val="0"/>
        </w:rPr>
        <w:t>Praktické předvedení a ústní ověření</w:t>
      </w:r>
    </w:p>
    <w:p>
      <w:pPr>
        <w:pStyle w:val="P31"/>
        <w:framePr w:w="10710" w:h="248" w:hRule="exact" w:wrap="none" w:vAnchor="page" w:hAnchor="margin" w:x="28" w:y="13232"/>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v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postupy a užití komisního prodeje a výkupu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postupy a užití aukčního prodeje</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3"/>
          <w:rtl w:val="0"/>
        </w:rPr>
      </w:pPr>
      <w:r>
        <w:rPr>
          <w:rStyle w:val="C23"/>
          <w:rtl w:val="0"/>
        </w:rPr>
        <w:t>Ústní ověření</w:t>
      </w:r>
    </w:p>
    <w:p>
      <w:pPr>
        <w:pStyle w:val="P31"/>
        <w:framePr w:w="10710" w:h="248" w:hRule="exact" w:wrap="none" w:vAnchor="page" w:hAnchor="margin" w:x="28" w:y="3836"/>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Vedení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•různé druhy certifikátů pravosti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Předvedení starožitného zboží před zákazníkem, rámcové stanovení doby vzniku, určení materiálového a technologického zpracování, užití, Ošetřování a uložení zboží z hlediska různého starožitného sortimentu, Aranžování zboží na prodejně, prodejních výstavách, veletrzích a aukcích</w:t>
      </w:r>
    </w:p>
    <w:p>
      <w:pPr>
        <w:keepNext w:val="0"/>
        <w:keepLines w:val="1"/>
        <w:framePr w:w="10766" w:h="78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Balení a expedice zboží s ohledem na jedinečnost různého starožitného sortimentu</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•balící prostředky</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942"/>
        <w:rPr>
          <w:rStyle w:val="C3"/>
          <w:rtl w:val="0"/>
        </w:rPr>
      </w:pPr>
    </w:p>
    <w:p>
      <w:pPr>
        <w:pStyle w:val="P37"/>
        <w:framePr w:w="10710" w:h="340" w:hRule="exact" w:wrap="none" w:vAnchor="page" w:hAnchor="margin" w:x="28" w:y="10942"/>
        <w:rPr>
          <w:rStyle w:val="C25"/>
          <w:rtl w:val="0"/>
        </w:rPr>
      </w:pPr>
      <w:r>
        <w:rPr>
          <w:rStyle w:val="C25"/>
          <w:rtl w:val="0"/>
        </w:rPr>
        <w:t>Výsledné hodnocení</w:t>
      </w:r>
    </w:p>
    <w:p>
      <w:pPr>
        <w:keepNext w:val="0"/>
        <w:keepLines w:val="0"/>
        <w:framePr w:w="10766" w:h="1497"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007"/>
        <w:rPr>
          <w:rStyle w:val="C3"/>
          <w:rtl w:val="0"/>
        </w:rPr>
      </w:pPr>
    </w:p>
    <w:p>
      <w:pPr>
        <w:pStyle w:val="P37"/>
        <w:framePr w:w="10710" w:h="340" w:hRule="exact" w:wrap="none" w:vAnchor="page" w:hAnchor="margin" w:x="28" w:y="13007"/>
        <w:rPr>
          <w:rStyle w:val="C25"/>
          <w:rtl w:val="0"/>
        </w:rPr>
      </w:pPr>
      <w:r>
        <w:rPr>
          <w:rStyle w:val="C25"/>
          <w:rtl w:val="0"/>
        </w:rPr>
        <w:t>Počet zkoušejících</w:t>
      </w:r>
    </w:p>
    <w:p>
      <w:pPr>
        <w:keepNext w:val="0"/>
        <w:keepLines w:val="0"/>
        <w:framePr w:w="10766" w:h="1036"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starožitnictví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dějiny umění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66-023-H Prodavač/prodavačka uměleckých předmětů a alespoň 5 let odborné praxe v oblasti starožitnictví nebo v prodeji uměleckých či uměleckořemeslných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9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nebo prodejní galerie s běžným vybavením odpovídající bezpečnostním požadavkům a hygienickým limitům na pracovní prostředí a pracoviště s:</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prodejní dokumentace </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5"/>
        <w:framePr w:w="10766" w:h="1146" w:hRule="exact" w:wrap="none" w:vAnchor="page" w:hAnchor="margin" w:x="0" w:y="9278"/>
        <w:rPr>
          <w:rStyle w:val="C3"/>
          <w:rtl w:val="0"/>
        </w:rPr>
      </w:pPr>
    </w:p>
    <w:p>
      <w:pPr>
        <w:pStyle w:val="P37"/>
        <w:framePr w:w="10710" w:h="340" w:hRule="exact" w:wrap="none" w:vAnchor="page" w:hAnchor="margin" w:x="28" w:y="9278"/>
        <w:rPr>
          <w:rStyle w:val="C25"/>
          <w:rtl w:val="0"/>
        </w:rPr>
      </w:pPr>
      <w:r>
        <w:rPr>
          <w:rStyle w:val="C25"/>
          <w:rtl w:val="0"/>
        </w:rPr>
        <w:t>Doba přípravy na zkoušku</w:t>
      </w:r>
    </w:p>
    <w:p>
      <w:pPr>
        <w:keepNext w:val="0"/>
        <w:keepLines w:val="0"/>
        <w:framePr w:w="10766" w:h="806" w:hRule="exact" w:wrap="none" w:vAnchor="page" w:hAnchor="margin" w:x="0" w:y="9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650"/>
        <w:rPr>
          <w:rStyle w:val="C3"/>
          <w:rtl w:val="0"/>
        </w:rPr>
      </w:pPr>
    </w:p>
    <w:p>
      <w:pPr>
        <w:pStyle w:val="P37"/>
        <w:framePr w:w="10710" w:h="340" w:hRule="exact" w:wrap="none" w:vAnchor="page" w:hAnchor="margin" w:x="28" w:y="10650"/>
        <w:rPr>
          <w:rStyle w:val="C25"/>
          <w:rtl w:val="0"/>
        </w:rPr>
      </w:pPr>
      <w:r>
        <w:rPr>
          <w:rStyle w:val="C25"/>
          <w:rtl w:val="0"/>
        </w:rPr>
        <w:t>Doba pro vykonání zkoušky</w:t>
      </w:r>
    </w:p>
    <w:p>
      <w:pPr>
        <w:keepNext w:val="0"/>
        <w:keepLines w:val="0"/>
        <w:framePr w:w="10766" w:h="80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Prodavač/prodavačka uměleckých předmětů, 20.8.2026 19:57:09</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49B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1DB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ADF9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1C1EA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02B836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284AC7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DB207D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