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38F25" Type="http://schemas.openxmlformats.org/officeDocument/2006/relationships/officeDocument" Target="/word/document.xml" /><Relationship Id="coreR27138F25" Type="http://schemas.openxmlformats.org/package/2006/relationships/metadata/core-properties" Target="/docProps/core.xml" /><Relationship Id="customR27138F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rámcové stanovení doby vzniku, určení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Využití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Balení a expedice zboží s ohledem na jedinečnost různého starožitného sortimentu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30.9.2026 5:58:40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dokumentace a nejméně 7 kusů předmětů uměleckořemeslného nebo starožitného charakteru z různých materiálů. Každý předmět může být použit pro ověření i více kritérií.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30.9.2026 5:58:40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 uměleckých předmětů, 30.9.2026 5:58:40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