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C3A91" Type="http://schemas.openxmlformats.org/officeDocument/2006/relationships/officeDocument" Target="/word/document.xml" /><Relationship Id="coreR23CC3A91" Type="http://schemas.openxmlformats.org/package/2006/relationships/metadata/core-properties" Target="/docProps/core.xml" /><Relationship Id="customR23CC3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sdělí, zda zkouška proběhne v provozním či simulovaném prostředí, a dále jaké aspekty budou sledovány při výkonu činností a při nakládání s materiálem.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Constellium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Metal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