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AA0FD6" Type="http://schemas.openxmlformats.org/officeDocument/2006/relationships/officeDocument" Target="/word/document.xml" /><Relationship Id="coreR1FAA0FD6" Type="http://schemas.openxmlformats.org/package/2006/relationships/metadata/core-properties" Target="/docProps/core.xml" /><Relationship Id="customR1FAA0F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Mechatronik/mechatronička, 28.9.2026 13:48:50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58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pStyle w:val="P21"/>
        <w:framePr w:w="7654" w:h="331" w:hRule="exact" w:wrap="none" w:vAnchor="page" w:hAnchor="margin" w:x="28" w:y="15940"/>
        <w:rPr>
          <w:rStyle w:val="C16"/>
          <w:rtl w:val="0"/>
        </w:rPr>
      </w:pPr>
      <w:r>
        <w:rPr>
          <w:rStyle w:val="C16"/>
          <w:rtl w:val="0"/>
        </w:rPr>
        <w:t>Mechatronik/mechatronička, 28.9.2026 13:48:50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elektrotechniku, ustavená a licencovaná pro tuto činnost HK ČR a SP ČR.</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Mechatronik/mechatronička, 28.9.2026 13:48:50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