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321B8" Type="http://schemas.openxmlformats.org/officeDocument/2006/relationships/officeDocument" Target="/word/document.xml" /><Relationship Id="coreR3A1321B8" Type="http://schemas.openxmlformats.org/package/2006/relationships/metadata/core-properties" Target="/docProps/core.xml" /><Relationship Id="customR3A1321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27.10.2022</w:t>
      </w:r>
    </w:p>
    <w:p>
      <w:pPr>
        <w:pStyle w:val="P21"/>
        <w:framePr w:w="7654" w:h="331" w:hRule="exact" w:wrap="none" w:vAnchor="page" w:hAnchor="margin" w:x="28" w:y="15940"/>
        <w:rPr>
          <w:rStyle w:val="C16"/>
          <w:rtl w:val="0"/>
        </w:rPr>
      </w:pPr>
      <w:r>
        <w:rPr>
          <w:rStyle w:val="C16"/>
          <w:rtl w:val="0"/>
        </w:rPr>
        <w:t>Mechatronik, 17.8.2026 23:15:46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17.8.2026 23:15:46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 17.8.2026 23:15:46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 17.8.2026 23:15:46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automatizační techniky a elektrotechniky, nebo v oblasti mechatroniky, minimálně 10 let praxe na pozici vyžadující odbornou způsobilost pro výkon činnosti na elektrotechnických a elektronických a strojírenských zařízeních nebo funkce učitele odborného výcviku ve výše uvedených oborech,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automatizační techniku a elektrotechniku, nebo se zaměřením na mechatroniku a minimálně 5 let praxe na pozici vyžadující odbornou způsobilost pro výkon činnosti na elektrotechnických, elektronických a strojírenských zařízeních nebo funkce učitele ve výše uvedených oborech,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mechatronik a minimálně 12 let praxe na pozici vyžadující odbornou způsobilost pro výkon činnosti mechatronika a 5 let pedagogické nebo lektorské činnosti, vykonávané souběžně s činností mechatronika,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 17.8.2026 23:15:46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 17.8.2026 23:15:46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 17.8.2026 23:15:46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C13C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