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82F22" Type="http://schemas.openxmlformats.org/officeDocument/2006/relationships/officeDocument" Target="/word/document.xml" /><Relationship Id="coreR10D82F22" Type="http://schemas.openxmlformats.org/package/2006/relationships/metadata/core-properties" Target="/docProps/core.xml" /><Relationship Id="customR10D82F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27.10.2022</w:t>
      </w:r>
    </w:p>
    <w:p>
      <w:pPr>
        <w:pStyle w:val="P21"/>
        <w:framePr w:w="7654" w:h="331" w:hRule="exact" w:wrap="none" w:vAnchor="page" w:hAnchor="margin" w:x="28" w:y="15940"/>
        <w:rPr>
          <w:rStyle w:val="C16"/>
          <w:rtl w:val="0"/>
        </w:rPr>
      </w:pPr>
      <w:r>
        <w:rPr>
          <w:rStyle w:val="C16"/>
          <w:rtl w:val="0"/>
        </w:rPr>
        <w:t>Mechatronik, 27.7.2026 15:47:34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27.7.2026 15:47:34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 27.7.2026 15:47:34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27.7.2026 15:47:34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automatizační techniky a elektrotechniky, nebo v oblasti mechatroniky, minimálně 10 let praxe na pozici vyžadující odbornou způsobilost pro výkon činnosti na elektrotechnických a elektronických a strojírenských zařízeních nebo funkce učitele odborného výcviku ve výše uvedených oborech,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automatizační techniku a elektrotechniku, nebo se zaměřením na mechatroniku a minimálně 5 let praxe na pozici vyžadující odbornou způsobilost pro výkon činnosti na elektrotechnických, elektronických a strojírenských zařízeních nebo funkce učitele ve výše uvedených oborech,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mechatronik a minimálně 12 let praxe na pozici vyžadující odbornou způsobilost pro výkon činnosti mechatronika a 5 let pedagogické nebo lektorské činnosti, vykonávané souběžně s činností mechatronika,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27.7.2026 15:47:34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27.7.2026 15:47:34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 27.7.2026 15:47:34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1ECB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