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3B1C0" Type="http://schemas.openxmlformats.org/officeDocument/2006/relationships/officeDocument" Target="/word/document.xml" /><Relationship Id="coreR1DA3B1C0" Type="http://schemas.openxmlformats.org/package/2006/relationships/metadata/core-properties" Target="/docProps/core.xml" /><Relationship Id="customR1DA3B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dopravních cest ovocné drtě a ovocné šťávy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časových lhůt a teplotních poměrů při pektolýze ovocné drtě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lisovacího zařízení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Průběžná sanitace a údržba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4:44:32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šťávy.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4:44:32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4:44:32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