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F20229" Type="http://schemas.openxmlformats.org/officeDocument/2006/relationships/officeDocument" Target="/word/document.xml" /><Relationship Id="coreR8F20229" Type="http://schemas.openxmlformats.org/package/2006/relationships/metadata/core-properties" Target="/docProps/core.xml" /><Relationship Id="customR8F202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ovocných koncentrátů (kód: 29-049-H)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koncentrátů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a kontrola potrubních dopravních cest ovocné šťávy a ovocného koncentrátu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Zahušťování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pektolýzy ovocné šťávy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Filtrace ovocné šťávy a její zahušťování na 2. a 3. stupni odparky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koncentrátů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sanitačních a hygienických činností při výrobě ovocných koncentrátů,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výroby ovocných koncentrátů, 28.5.2026 2:38:51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a kontrola potrubních dopravních cest ovocné šťávy a ovocného koncentrátu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vícesměrné ventily pro průtok ovocné šťávy a ovocného koncentrátu do správné polohy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Zkontrolovat a regulovat průtok ovocné šťávy a ovocného koncentrátu mezi vstupním a cílovým zařízením technologické linky v závislosti na výkonu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Zahušťování ovocné šťávy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Nastavit parametry odpařovacího zařízení (teplota chladicí vody, vstupní teplota šťávy, tlak)</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Zkontrolovat podtlak v odparce, předvést ovládání čerpadla ovocné šťávy</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Zkontrolovat průtok a vstupní a výstupní teplotu ovocné šťávy v zařízení na jímání ovocného aroma</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Sledovat koncentraci jímaného ovocného aroma na kontrolní stupnici zařízení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Zkontrolovat teplotu pasterace ovocné šťávy před pektolýzou, případně zajistit úpravu teploty</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 a 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Zkontrolovat průběh odpařování ovocné šťávy, v případě potřeby upravit parametry</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g) Zkontrolovat teplotu ovocné šťávy před vpuštěním do skladovacích nádrží k procesu pektolýzy</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průběhu pektolýzy ovocné šťávy</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Vysvětlit chemické působení a účel pektolytických preparátů na ovocnou šťávu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Ústní ověření</w:t>
      </w:r>
    </w:p>
    <w:p>
      <w:pPr>
        <w:pStyle w:val="P16"/>
        <w:framePr w:w="6710" w:h="1055" w:hRule="exact" w:wrap="none" w:vAnchor="page" w:hAnchor="margin" w:x="45" w:y="12318"/>
        <w:rPr>
          <w:rStyle w:val="C3"/>
          <w:rtl w:val="0"/>
        </w:rPr>
      </w:pPr>
    </w:p>
    <w:p>
      <w:pPr>
        <w:pStyle w:val="P17"/>
        <w:framePr w:w="6658" w:h="928" w:hRule="exact" w:wrap="none" w:vAnchor="page" w:hAnchor="margin" w:x="71" w:y="12374"/>
        <w:rPr>
          <w:rStyle w:val="C13"/>
          <w:rtl w:val="0"/>
        </w:rPr>
      </w:pPr>
      <w:r>
        <w:rPr>
          <w:rStyle w:val="C13"/>
          <w:rtl w:val="0"/>
        </w:rPr>
        <w:t>b) Provést alkoholový test na přítomnost pektinových látek v ovocné šťávě před jejím zahuštěním, dále vždy po 60 a 120 minutách z důvodu sledování průběhu pektolýzy ovocné šťávy; v případě potřeby upravit dávkování pektolytických enzymů</w:t>
      </w:r>
    </w:p>
    <w:p>
      <w:pPr>
        <w:pStyle w:val="P30"/>
        <w:framePr w:w="3921" w:h="1055" w:hRule="exact" w:wrap="none" w:vAnchor="page" w:hAnchor="margin" w:x="6800" w:y="12318"/>
        <w:rPr>
          <w:rStyle w:val="C3"/>
          <w:rtl w:val="0"/>
        </w:rPr>
      </w:pPr>
    </w:p>
    <w:p>
      <w:pPr>
        <w:pStyle w:val="P31"/>
        <w:framePr w:w="3839" w:h="928" w:hRule="exact" w:wrap="none" w:vAnchor="page" w:hAnchor="margin" w:x="6856" w:y="12374"/>
        <w:rPr>
          <w:rStyle w:val="C22"/>
          <w:rtl w:val="0"/>
        </w:rPr>
      </w:pPr>
      <w:r>
        <w:rPr>
          <w:rStyle w:val="C22"/>
          <w:rtl w:val="0"/>
        </w:rPr>
        <w:t>Praktické předvedení</w:t>
      </w:r>
    </w:p>
    <w:p>
      <w:pPr>
        <w:pStyle w:val="P12"/>
        <w:framePr w:w="6710" w:h="1055" w:hRule="exact" w:wrap="none" w:vAnchor="page" w:hAnchor="margin" w:x="45" w:y="13374"/>
        <w:rPr>
          <w:rStyle w:val="C3"/>
          <w:rtl w:val="0"/>
        </w:rPr>
      </w:pPr>
    </w:p>
    <w:p>
      <w:pPr>
        <w:pStyle w:val="P13"/>
        <w:framePr w:w="6658" w:h="928" w:hRule="exact" w:wrap="none" w:vAnchor="page" w:hAnchor="margin" w:x="71" w:y="13430"/>
        <w:rPr>
          <w:rStyle w:val="C11"/>
          <w:rtl w:val="0"/>
        </w:rPr>
      </w:pPr>
      <w:r>
        <w:rPr>
          <w:rStyle w:val="C11"/>
          <w:rtl w:val="0"/>
        </w:rPr>
        <w:t>c) Provést jodový test na přítomnost škrobových látek v ovocné šťávě před jejím zahuštěním, dále vždy po 60 a 120 minutách z důvodu sledování průběhu pektolýzy ovocné šťávy; v případě potřeby upravit dávkování enzymů k odbourávání škrobů</w:t>
      </w:r>
    </w:p>
    <w:p>
      <w:pPr>
        <w:pStyle w:val="P28"/>
        <w:framePr w:w="3921" w:h="1055" w:hRule="exact" w:wrap="none" w:vAnchor="page" w:hAnchor="margin" w:x="6800" w:y="13374"/>
        <w:rPr>
          <w:rStyle w:val="C3"/>
          <w:rtl w:val="0"/>
        </w:rPr>
      </w:pPr>
    </w:p>
    <w:p>
      <w:pPr>
        <w:pStyle w:val="P29"/>
        <w:framePr w:w="3839" w:h="928" w:hRule="exact" w:wrap="none" w:vAnchor="page" w:hAnchor="margin" w:x="6856" w:y="13430"/>
        <w:rPr>
          <w:rStyle w:val="C21"/>
          <w:rtl w:val="0"/>
        </w:rPr>
      </w:pPr>
      <w:r>
        <w:rPr>
          <w:rStyle w:val="C21"/>
          <w:rtl w:val="0"/>
        </w:rPr>
        <w:t>Praktické předvedení</w:t>
      </w:r>
    </w:p>
    <w:p>
      <w:pPr>
        <w:pStyle w:val="P32"/>
        <w:framePr w:w="10710" w:h="248" w:hRule="exact" w:wrap="none" w:vAnchor="page" w:hAnchor="margin" w:x="28" w:y="14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koncentrátů, 28.5.2026 2:38:51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Filtrace ovocné šťávy a její zahušťování na 2. a 3. stupni odparky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důvody filtrace ovocné šťávy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Spustit filtrační zařízení, zkontrolovat parametry nastavení a cestu šťávy do zásobního tanku před odparku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Spustit odpařovací zařízení, nastavit množství páry a průtok ovocné šťávy do odparky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obsah cukerné sušiny v ovocné šťávě a případně změnit množství páry nebo průtoku vstupní šťávy při odpařování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teplotu koncentrátu za deskovým chladičem, popřípadě zregulovat průtok chladicí vody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Spustit míchadlo homogenizačního tanku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Vedení provozní evidence při výrobě ovocných koncentrátů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Zaznamenat požadované údaje (teplota, čas) do evidence průběhu pektolýzy ovocné šťávy</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Evidovat ve výrobní knize dávkování pektolytických enzymů do ovocné šťávy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Zaznamenat požadované údaje měření cukerné sušiny během odpařování ovocné šťávy do výrobní knihy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547" w:hRule="exact" w:wrap="none" w:vAnchor="page" w:hAnchor="margin" w:x="28" w:y="9884"/>
        <w:rPr>
          <w:rStyle w:val="C18"/>
          <w:rtl w:val="0"/>
        </w:rPr>
      </w:pPr>
      <w:r>
        <w:rPr>
          <w:rStyle w:val="C18"/>
          <w:rtl w:val="0"/>
        </w:rPr>
        <w:t>Provádění sanitačních a hygienických činností při výrobě ovocných koncentrátů, dodržování sanitačních postupů</w:t>
      </w:r>
    </w:p>
    <w:p>
      <w:pPr>
        <w:pStyle w:val="P24"/>
        <w:framePr w:w="6713" w:h="376" w:hRule="exact" w:wrap="none" w:vAnchor="page" w:hAnchor="margin" w:x="45" w:y="10530"/>
        <w:rPr>
          <w:rStyle w:val="C3"/>
          <w:rtl w:val="0"/>
        </w:rPr>
      </w:pPr>
    </w:p>
    <w:p>
      <w:pPr>
        <w:pStyle w:val="P25"/>
        <w:framePr w:w="6661" w:h="249" w:hRule="exact" w:wrap="none" w:vAnchor="page" w:hAnchor="margin" w:x="71" w:y="10601"/>
        <w:rPr>
          <w:rStyle w:val="C19"/>
          <w:rtl w:val="0"/>
        </w:rPr>
      </w:pPr>
      <w:r>
        <w:rPr>
          <w:rStyle w:val="C19"/>
          <w:rtl w:val="0"/>
        </w:rPr>
        <w:t>Kritéria hodnocení</w:t>
      </w:r>
    </w:p>
    <w:p>
      <w:pPr>
        <w:pStyle w:val="P26"/>
        <w:framePr w:w="3918" w:h="376" w:hRule="exact" w:wrap="none" w:vAnchor="page" w:hAnchor="margin" w:x="6803" w:y="10530"/>
        <w:rPr>
          <w:rStyle w:val="C3"/>
          <w:rtl w:val="0"/>
        </w:rPr>
      </w:pPr>
    </w:p>
    <w:p>
      <w:pPr>
        <w:pStyle w:val="P27"/>
        <w:framePr w:w="3836" w:h="249" w:hRule="exact" w:wrap="none" w:vAnchor="page" w:hAnchor="margin" w:x="6859" w:y="10601"/>
        <w:rPr>
          <w:rStyle w:val="C20"/>
          <w:rtl w:val="0"/>
        </w:rPr>
      </w:pPr>
      <w:r>
        <w:rPr>
          <w:rStyle w:val="C20"/>
          <w:rtl w:val="0"/>
        </w:rPr>
        <w:t>Způsoby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607" w:hRule="exact" w:wrap="none" w:vAnchor="page" w:hAnchor="margin" w:x="45" w:y="11513"/>
        <w:rPr>
          <w:rStyle w:val="C3"/>
          <w:rtl w:val="0"/>
        </w:rPr>
      </w:pPr>
    </w:p>
    <w:p>
      <w:pPr>
        <w:pStyle w:val="P17"/>
        <w:framePr w:w="6658" w:h="480" w:hRule="exact" w:wrap="none" w:vAnchor="page" w:hAnchor="margin" w:x="71" w:y="11569"/>
        <w:rPr>
          <w:rStyle w:val="C13"/>
          <w:rtl w:val="0"/>
        </w:rPr>
      </w:pPr>
      <w:r>
        <w:rPr>
          <w:rStyle w:val="C13"/>
          <w:rtl w:val="0"/>
        </w:rPr>
        <w:t>b) Provést sanitaci odpařovacího zařízení v souladu se sanitačním řádem konkrétního zařízení</w:t>
      </w:r>
    </w:p>
    <w:p>
      <w:pPr>
        <w:pStyle w:val="P30"/>
        <w:framePr w:w="3921" w:h="607" w:hRule="exact" w:wrap="none" w:vAnchor="page" w:hAnchor="margin" w:x="6800" w:y="11513"/>
        <w:rPr>
          <w:rStyle w:val="C3"/>
          <w:rtl w:val="0"/>
        </w:rPr>
      </w:pPr>
    </w:p>
    <w:p>
      <w:pPr>
        <w:pStyle w:val="P31"/>
        <w:framePr w:w="3839" w:h="480" w:hRule="exact" w:wrap="none" w:vAnchor="page" w:hAnchor="margin" w:x="6856" w:y="11569"/>
        <w:rPr>
          <w:rStyle w:val="C22"/>
          <w:rtl w:val="0"/>
        </w:rPr>
      </w:pPr>
      <w:r>
        <w:rPr>
          <w:rStyle w:val="C22"/>
          <w:rtl w:val="0"/>
        </w:rPr>
        <w:t>Praktické předvedení</w:t>
      </w:r>
    </w:p>
    <w:p>
      <w:pPr>
        <w:pStyle w:val="P12"/>
        <w:framePr w:w="6710" w:h="376" w:hRule="exact" w:wrap="none" w:vAnchor="page" w:hAnchor="margin" w:x="45" w:y="12120"/>
        <w:rPr>
          <w:rStyle w:val="C3"/>
          <w:rtl w:val="0"/>
        </w:rPr>
      </w:pPr>
    </w:p>
    <w:p>
      <w:pPr>
        <w:pStyle w:val="P13"/>
        <w:framePr w:w="6658" w:h="249" w:hRule="exact" w:wrap="none" w:vAnchor="page" w:hAnchor="margin" w:x="71" w:y="12176"/>
        <w:rPr>
          <w:rStyle w:val="C11"/>
          <w:rtl w:val="0"/>
        </w:rPr>
      </w:pPr>
      <w:r>
        <w:rPr>
          <w:rStyle w:val="C11"/>
          <w:rtl w:val="0"/>
        </w:rPr>
        <w:t>c) Použít pracovní oděv a ochranné pomůcky při sanitaci odparky a filtrace</w:t>
      </w:r>
    </w:p>
    <w:p>
      <w:pPr>
        <w:pStyle w:val="P28"/>
        <w:framePr w:w="3921" w:h="376" w:hRule="exact" w:wrap="none" w:vAnchor="page" w:hAnchor="margin" w:x="6800" w:y="12120"/>
        <w:rPr>
          <w:rStyle w:val="C3"/>
          <w:rtl w:val="0"/>
        </w:rPr>
      </w:pPr>
    </w:p>
    <w:p>
      <w:pPr>
        <w:pStyle w:val="P29"/>
        <w:framePr w:w="3839" w:h="249" w:hRule="exact" w:wrap="none" w:vAnchor="page" w:hAnchor="margin" w:x="6856" w:y="12176"/>
        <w:rPr>
          <w:rStyle w:val="C21"/>
          <w:rtl w:val="0"/>
        </w:rPr>
      </w:pPr>
      <w:r>
        <w:rPr>
          <w:rStyle w:val="C21"/>
          <w:rtl w:val="0"/>
        </w:rPr>
        <w:t>Praktické předvedení</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Vysvětlit zásady první pomoci při poleptání louhem nebo kyselinou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koncentrátů, 28.5.2026 2:38:51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Používat pracovní oděv a ochranné pomůcky při provádění sanitace výrobního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Rozlišovat specifická bezpečnostní rizika související s manipulací se strojním vybavením a s výkonem pracovních činností při výrobě ovocného koncentrátu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koncentrátů, 28.5.2026 2:38:51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https://www.nsp.cz/jednotka-prace/pracovnik-vyroby-ovocnych-3972#zdravotni-zpusobilost).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ovocného koncentrátu.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ovocných koncentrátů, 28.5.2026 2:38:51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 šťáva určená pro výrobu koncentrátu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odpařovací stanice a filtrace ovocné šťávy, hustoměr, piknometr, lihoměr, pH metr, refraktometr, teploměr, jódový tester</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výroby ovocných koncentrátů, 28.5.2026 2:38:51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ovocných koncentrátů, 28.5.2026 2:38:51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ovocných koncentrátů, 28.5.2026 2:38:51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C978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FD72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00F7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