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E5DF33" Type="http://schemas.openxmlformats.org/officeDocument/2006/relationships/officeDocument" Target="/word/document.xml" /><Relationship Id="coreR9E5DF33" Type="http://schemas.openxmlformats.org/package/2006/relationships/metadata/core-properties" Target="/docProps/core.xml" /><Relationship Id="customR9E5DF3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Vinař (kód: 29-060-H)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Vinař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surovin, posuzování jakostních parametrů vinných hroznů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zařízení pro výrobu tichých vín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zařízení pro výrobu šumivých, perlivých, likérových a aromatizovaných vín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a úprava parametrů kvasného procesu a vlastností vín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odběru vzorků při výrobě vína pro laboratorní analýzu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surovin pro výrobu vín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Seřizování, ošetřování a údržba vinařských strojů a zařízení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Skladování vín, surovin pro jejich výrobu a vedlejších produktů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Likvidace, shromažďování a skladování odpadů při výrobě vína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Provozní senzorická analýza vína při výrobě vína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Vedení vinařské evidence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při výrobě vín,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29.10.2013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Vinař, 20.10.2026 8:47:19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http://katalog.nsp.cz/karta_p.aspx?id_jp=102458&amp;kod_sm1=28).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praktické zkoušky, musí mít platný průkaz pracovníka v potravinářství (zdravotní průkaz).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s navazujícími činnostmi vedoucími k výrobě vín.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principů, které jsou podmínkou pro zajištění kvality vína.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Vinař, 20.10.2026 8:47:19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biotechnologií FPBT, VŠCHT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Zámecké vinařství Bzenec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Arcibiskupské vinné sklepy Kroměříž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Vinař, 20.10.2026 8:47:19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