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A4CE44" Type="http://schemas.openxmlformats.org/officeDocument/2006/relationships/officeDocument" Target="/word/document.xml" /><Relationship Id="coreR27A4CE44" Type="http://schemas.openxmlformats.org/package/2006/relationships/metadata/core-properties" Target="/docProps/core.xml" /><Relationship Id="customR27A4CE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detektiv/detektivka (kód: 68-002-T)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detektiv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Aplikování forem, metod a prostředků soukromé detektivní činnosti v konkrétním ekonomickém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zásad obsluhy prostředků a pomůcek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informací s ohledem na využitelnost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Vedoucí detektiv/detektivka, 11.5.2026 4:55:18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činnost soukromé detektivní služby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Aplikovat živnostenské právo, pracovní právo a daňové předpisy</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zákoně o Policii České republiky a obecní policii a vysvětlit jeho použití při výkonu pracovní činnosti</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Písemné a 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Aplikování forem, metod a prostředků soukromé detektivní činnosti v konkrétním ekonomickém prostředí</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831" w:hRule="exact" w:wrap="none" w:vAnchor="page" w:hAnchor="margin" w:x="45" w:y="8717"/>
        <w:rPr>
          <w:rStyle w:val="C3"/>
          <w:rtl w:val="0"/>
        </w:rPr>
      </w:pPr>
    </w:p>
    <w:p>
      <w:pPr>
        <w:pStyle w:val="P13"/>
        <w:framePr w:w="6658" w:h="704" w:hRule="exact" w:wrap="none" w:vAnchor="page" w:hAnchor="margin" w:x="71" w:y="8773"/>
        <w:rPr>
          <w:rStyle w:val="C11"/>
          <w:rtl w:val="0"/>
        </w:rPr>
      </w:pPr>
      <w:r>
        <w:rPr>
          <w:rStyle w:val="C11"/>
          <w:rtl w:val="0"/>
        </w:rPr>
        <w:t>a) Charakterizovat formy detektivní činnosti ‒ detektivní dohled a ochrana, detektivní pátrání, detektivní prověrka, detektivní rozkrývání a detektivní zpravodajství</w:t>
      </w:r>
    </w:p>
    <w:p>
      <w:pPr>
        <w:pStyle w:val="P28"/>
        <w:framePr w:w="3921" w:h="831" w:hRule="exact" w:wrap="none" w:vAnchor="page" w:hAnchor="margin" w:x="6800" w:y="8717"/>
        <w:rPr>
          <w:rStyle w:val="C3"/>
          <w:rtl w:val="0"/>
        </w:rPr>
      </w:pPr>
    </w:p>
    <w:p>
      <w:pPr>
        <w:pStyle w:val="P29"/>
        <w:framePr w:w="3839" w:h="704" w:hRule="exact" w:wrap="none" w:vAnchor="page" w:hAnchor="margin" w:x="6856" w:y="8773"/>
        <w:rPr>
          <w:rStyle w:val="C21"/>
          <w:rtl w:val="0"/>
        </w:rPr>
      </w:pPr>
      <w:r>
        <w:rPr>
          <w:rStyle w:val="C21"/>
          <w:rtl w:val="0"/>
        </w:rPr>
        <w:t>Ústní ověření</w:t>
      </w:r>
    </w:p>
    <w:p>
      <w:pPr>
        <w:pStyle w:val="P16"/>
        <w:framePr w:w="6710" w:h="831" w:hRule="exact" w:wrap="none" w:vAnchor="page" w:hAnchor="margin" w:x="45" w:y="9548"/>
        <w:rPr>
          <w:rStyle w:val="C3"/>
          <w:rtl w:val="0"/>
        </w:rPr>
      </w:pPr>
    </w:p>
    <w:p>
      <w:pPr>
        <w:pStyle w:val="P17"/>
        <w:framePr w:w="6658" w:h="704" w:hRule="exact" w:wrap="none" w:vAnchor="page" w:hAnchor="margin" w:x="71" w:y="9604"/>
        <w:rPr>
          <w:rStyle w:val="C13"/>
          <w:rtl w:val="0"/>
        </w:rPr>
      </w:pPr>
      <w:r>
        <w:rPr>
          <w:rStyle w:val="C13"/>
          <w:rtl w:val="0"/>
        </w:rPr>
        <w:t>b) Popsat realizaci formy detektivní činnosti ‒ detektivní dohled a ochrana, detektivní pátrání, detektivní prověrka, detektivní rozkrývání a detektivní zpravodajství</w:t>
      </w:r>
    </w:p>
    <w:p>
      <w:pPr>
        <w:pStyle w:val="P30"/>
        <w:framePr w:w="3921" w:h="831" w:hRule="exact" w:wrap="none" w:vAnchor="page" w:hAnchor="margin" w:x="6800" w:y="9548"/>
        <w:rPr>
          <w:rStyle w:val="C3"/>
          <w:rtl w:val="0"/>
        </w:rPr>
      </w:pPr>
    </w:p>
    <w:p>
      <w:pPr>
        <w:pStyle w:val="P31"/>
        <w:framePr w:w="3839" w:h="704" w:hRule="exact" w:wrap="none" w:vAnchor="page" w:hAnchor="margin" w:x="6856" w:y="9604"/>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Charakterizovat metody soukromé detektivní činnosti včetně kriminalistických postupů</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Ústní ověření</w:t>
      </w:r>
    </w:p>
    <w:p>
      <w:pPr>
        <w:pStyle w:val="P16"/>
        <w:framePr w:w="6710" w:h="607" w:hRule="exact" w:wrap="none" w:vAnchor="page" w:hAnchor="margin" w:x="45" w:y="10986"/>
        <w:rPr>
          <w:rStyle w:val="C3"/>
          <w:rtl w:val="0"/>
        </w:rPr>
      </w:pPr>
    </w:p>
    <w:p>
      <w:pPr>
        <w:pStyle w:val="P17"/>
        <w:framePr w:w="6658" w:h="480" w:hRule="exact" w:wrap="none" w:vAnchor="page" w:hAnchor="margin" w:x="71" w:y="11042"/>
        <w:rPr>
          <w:rStyle w:val="C13"/>
          <w:rtl w:val="0"/>
        </w:rPr>
      </w:pPr>
      <w:r>
        <w:rPr>
          <w:rStyle w:val="C13"/>
          <w:rtl w:val="0"/>
        </w:rPr>
        <w:t>d) Popsat realizaci metody soukromé detektivní činnosti včetně kriminalistických postupů</w:t>
      </w:r>
    </w:p>
    <w:p>
      <w:pPr>
        <w:pStyle w:val="P30"/>
        <w:framePr w:w="3921" w:h="607" w:hRule="exact" w:wrap="none" w:vAnchor="page" w:hAnchor="margin" w:x="6800" w:y="10986"/>
        <w:rPr>
          <w:rStyle w:val="C3"/>
          <w:rtl w:val="0"/>
        </w:rPr>
      </w:pPr>
    </w:p>
    <w:p>
      <w:pPr>
        <w:pStyle w:val="P31"/>
        <w:framePr w:w="3839" w:h="480" w:hRule="exact" w:wrap="none" w:vAnchor="page" w:hAnchor="margin" w:x="6856" w:y="11042"/>
        <w:rPr>
          <w:rStyle w:val="C22"/>
          <w:rtl w:val="0"/>
        </w:rPr>
      </w:pPr>
      <w:r>
        <w:rPr>
          <w:rStyle w:val="C22"/>
          <w:rtl w:val="0"/>
        </w:rPr>
        <w:t>Písemné ověření</w:t>
      </w:r>
    </w:p>
    <w:p>
      <w:pPr>
        <w:pStyle w:val="P12"/>
        <w:framePr w:w="6710" w:h="607" w:hRule="exact" w:wrap="none" w:vAnchor="page" w:hAnchor="margin" w:x="45" w:y="11593"/>
        <w:rPr>
          <w:rStyle w:val="C3"/>
          <w:rtl w:val="0"/>
        </w:rPr>
      </w:pPr>
    </w:p>
    <w:p>
      <w:pPr>
        <w:pStyle w:val="P13"/>
        <w:framePr w:w="6658" w:h="480" w:hRule="exact" w:wrap="none" w:vAnchor="page" w:hAnchor="margin" w:x="71" w:y="11649"/>
        <w:rPr>
          <w:rStyle w:val="C11"/>
          <w:rtl w:val="0"/>
        </w:rPr>
      </w:pPr>
      <w:r>
        <w:rPr>
          <w:rStyle w:val="C11"/>
          <w:rtl w:val="0"/>
        </w:rPr>
        <w:t>e) Popsat kriminologické, kriminalistické a psychologické aspekty v soukromé detektivní činnosti</w:t>
      </w:r>
    </w:p>
    <w:p>
      <w:pPr>
        <w:pStyle w:val="P28"/>
        <w:framePr w:w="3921" w:h="607" w:hRule="exact" w:wrap="none" w:vAnchor="page" w:hAnchor="margin" w:x="6800" w:y="11593"/>
        <w:rPr>
          <w:rStyle w:val="C3"/>
          <w:rtl w:val="0"/>
        </w:rPr>
      </w:pPr>
    </w:p>
    <w:p>
      <w:pPr>
        <w:pStyle w:val="P29"/>
        <w:framePr w:w="3839" w:h="480" w:hRule="exact" w:wrap="none" w:vAnchor="page" w:hAnchor="margin" w:x="6856" w:y="11649"/>
        <w:rPr>
          <w:rStyle w:val="C21"/>
          <w:rtl w:val="0"/>
        </w:rPr>
      </w:pPr>
      <w:r>
        <w:rPr>
          <w:rStyle w:val="C21"/>
          <w:rtl w:val="0"/>
        </w:rPr>
        <w:t>Písemné i ústní ověření</w:t>
      </w:r>
    </w:p>
    <w:p>
      <w:pPr>
        <w:pStyle w:val="P16"/>
        <w:framePr w:w="6710" w:h="607" w:hRule="exact" w:wrap="none" w:vAnchor="page" w:hAnchor="margin" w:x="45" w:y="12200"/>
        <w:rPr>
          <w:rStyle w:val="C3"/>
          <w:rtl w:val="0"/>
        </w:rPr>
      </w:pPr>
    </w:p>
    <w:p>
      <w:pPr>
        <w:pStyle w:val="P17"/>
        <w:framePr w:w="6658" w:h="480" w:hRule="exact" w:wrap="none" w:vAnchor="page" w:hAnchor="margin" w:x="71" w:y="12256"/>
        <w:rPr>
          <w:rStyle w:val="C13"/>
          <w:rtl w:val="0"/>
        </w:rPr>
      </w:pPr>
      <w:r>
        <w:rPr>
          <w:rStyle w:val="C13"/>
          <w:rtl w:val="0"/>
        </w:rPr>
        <w:t>f) Popsat využití různých komunikačních strategií a psychologie řízení při uplatňování metod soukromé detektivní činnosti</w:t>
      </w:r>
    </w:p>
    <w:p>
      <w:pPr>
        <w:pStyle w:val="P30"/>
        <w:framePr w:w="3921" w:h="607" w:hRule="exact" w:wrap="none" w:vAnchor="page" w:hAnchor="margin" w:x="6800" w:y="12200"/>
        <w:rPr>
          <w:rStyle w:val="C3"/>
          <w:rtl w:val="0"/>
        </w:rPr>
      </w:pPr>
    </w:p>
    <w:p>
      <w:pPr>
        <w:pStyle w:val="P31"/>
        <w:framePr w:w="3839" w:h="480" w:hRule="exact" w:wrap="none" w:vAnchor="page" w:hAnchor="margin" w:x="6856" w:y="12256"/>
        <w:rPr>
          <w:rStyle w:val="C22"/>
          <w:rtl w:val="0"/>
        </w:rPr>
      </w:pPr>
      <w:r>
        <w:rPr>
          <w:rStyle w:val="C22"/>
          <w:rtl w:val="0"/>
        </w:rPr>
        <w:t>Písemné i ústní ověření</w:t>
      </w:r>
    </w:p>
    <w:p>
      <w:pPr>
        <w:pStyle w:val="P12"/>
        <w:framePr w:w="6710" w:h="607" w:hRule="exact" w:wrap="none" w:vAnchor="page" w:hAnchor="margin" w:x="45" w:y="12806"/>
        <w:rPr>
          <w:rStyle w:val="C3"/>
          <w:rtl w:val="0"/>
        </w:rPr>
      </w:pPr>
    </w:p>
    <w:p>
      <w:pPr>
        <w:pStyle w:val="P13"/>
        <w:framePr w:w="6658" w:h="480" w:hRule="exact" w:wrap="none" w:vAnchor="page" w:hAnchor="margin" w:x="71" w:y="12862"/>
        <w:rPr>
          <w:rStyle w:val="C11"/>
          <w:rtl w:val="0"/>
        </w:rPr>
      </w:pPr>
      <w:r>
        <w:rPr>
          <w:rStyle w:val="C11"/>
          <w:rtl w:val="0"/>
        </w:rPr>
        <w:t>g) Charakterizovat zdroje informací (otevřené, speciální) s důrazem na možnou důkazní hodnotu</w:t>
      </w:r>
    </w:p>
    <w:p>
      <w:pPr>
        <w:pStyle w:val="P28"/>
        <w:framePr w:w="3921" w:h="607" w:hRule="exact" w:wrap="none" w:vAnchor="page" w:hAnchor="margin" w:x="6800" w:y="12806"/>
        <w:rPr>
          <w:rStyle w:val="C3"/>
          <w:rtl w:val="0"/>
        </w:rPr>
      </w:pPr>
    </w:p>
    <w:p>
      <w:pPr>
        <w:pStyle w:val="P29"/>
        <w:framePr w:w="3839" w:h="480" w:hRule="exact" w:wrap="none" w:vAnchor="page" w:hAnchor="margin" w:x="6856" w:y="12862"/>
        <w:rPr>
          <w:rStyle w:val="C21"/>
          <w:rtl w:val="0"/>
        </w:rPr>
      </w:pPr>
      <w:r>
        <w:rPr>
          <w:rStyle w:val="C21"/>
          <w:rtl w:val="0"/>
        </w:rPr>
        <w:t>Písemné i ústní ověření</w:t>
      </w:r>
    </w:p>
    <w:p>
      <w:pPr>
        <w:pStyle w:val="P32"/>
        <w:framePr w:w="10710" w:h="248" w:hRule="exact" w:wrap="none" w:vAnchor="page" w:hAnchor="margin" w:x="28" w:y="13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detektiv/detektivka, 11.5.2026 4:55:18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zásad obsluhy prostředků a pomůcek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kriminalistické technické metody a jejich aplikaci v praxi (zajišťování stop a jejich fotodokumentace v oboru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 pořizování fotografií, video a zvukových záznamů s ohledem na informační nebo důkazní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možnosti využití detektorů kovů, optických prostředků a prostředků nočního vidění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Právně zdůvodnit použití obranných prostředků při výkonu detektivní činnosti s důrazem na znalost okolností vylučujících protiprávnost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postup při analýze a třídění informací v rámci detektivního dokumentování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Analyzovat informace o důkazech činnosti osob, průběhu událostí, situací a jevů</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Orientovat se v právních předpisech pro ukládání dat a ostatních podkladů s ohledem na předpisy v oblasti daní a účetnictví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Zpracování informací s ohledem na využitelnost informačních zdrojů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Analyzovat klíčové informace, určit příčiny a podmínky vzniku informace a důsledky v řešení úkolu</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Praktické předvedení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Popsat způsoby a možnosti předvídání jednání svého protějšku s minimalizací vzniku konfliktu a s cílem získat jej pro součinnost</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Využívat základní veřejné informačními registry a databáze (jejich využití a přístupy k nim)</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Popsat proces tvorby a prověřování detektivních verzí a zpravodajských hypotéz</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detektiv/detektivka, 11.5.2026 4:55:18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ověřují formou testu.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Aplikování právních norem s důrazem na bezpečnostně právní problematiku a ochranu osobních údajů; Aplikování forem, metod a prostředků soukromé detektivní činnosti v konkrétním ekonomickém prostředí; Ovládání zásad obsluhy prostředků a pomůcek soukromé detektivní činnosti.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Každé písemně ověřované kritérium musí být zastoupeno alespoň 2x. Celková velikost souboru testových otázek musí být minimálně 60 s tím, že každé písemně ověřované kritérium musí být zastoupeno alespoň 5 otázkami. Určený člen komise poučí uchazeče o způsobu práce s testem před zahájením časového limitu.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80 %, to je 24 otázek testu správně.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Aplikování forem, metod a prostředků soukromé detektivní činnosti v konkrétním ekonomickém prostředí. Skupina B kompetence: Ovládání zásad obsluhy prostředků a pomůcek soukromé detektivní činnosti; Dokumentování a vyhodnocování informací, jejich evidence a příprava k předání klientovi; Zpracování informací s ohledem na využitelnost informačních zdrojů. Autorizovaná osoba musí mít minimálně 10 typových situací skupiny A a 10 skupiny B.</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Vedoucí detektiv/detektivka, 11.5.2026 4:55:18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Vedoucí detektiv/detektivka, 11.5.2026 4:55:18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minimálně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v platném znění),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Vedoucí detektiv/detektivka, 11.5.2026 4:55:18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 texty právních předpisů, záznamní a ostatní pomůcky nezbytné pro práci komise a činnost uchazeče,</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6782"/>
        <w:rPr>
          <w:rStyle w:val="C3"/>
          <w:rtl w:val="0"/>
        </w:rPr>
      </w:pPr>
    </w:p>
    <w:p>
      <w:pPr>
        <w:pStyle w:val="P35"/>
        <w:framePr w:w="10710" w:h="340" w:hRule="exact" w:wrap="none" w:vAnchor="page" w:hAnchor="margin" w:x="28" w:y="6782"/>
        <w:rPr>
          <w:rStyle w:val="C25"/>
          <w:rtl w:val="0"/>
        </w:rPr>
      </w:pPr>
      <w:r>
        <w:rPr>
          <w:rStyle w:val="C25"/>
          <w:rtl w:val="0"/>
        </w:rPr>
        <w:t>Doba přípravy na zkoušku</w:t>
      </w:r>
    </w:p>
    <w:p>
      <w:pPr>
        <w:keepNext w:val="0"/>
        <w:keepLines w:val="0"/>
        <w:framePr w:w="10766" w:h="1271" w:hRule="exact" w:wrap="none" w:vAnchor="page" w:hAnchor="margin" w:x="0" w:y="7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maximálně 10 minut. Do doby přípravy na zkoušku se nezapočítává doba na seznámení uchazeče s pracovištěm a s požadavky BOZP a PO.</w:t>
      </w:r>
    </w:p>
    <w:p>
      <w:pPr>
        <w:pStyle w:val="P33"/>
        <w:framePr w:w="10766" w:h="114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pro vykonání zkoušky</w:t>
      </w:r>
    </w:p>
    <w:p>
      <w:pPr>
        <w:keepNext w:val="0"/>
        <w:keepLines w:val="0"/>
        <w:framePr w:w="10766" w:h="80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60 až 90 minut, celkově 90 až 150 minut. Obě části zkoušky absolvuje uchazeč v jednom dni.</w:t>
      </w:r>
    </w:p>
    <w:p>
      <w:pPr>
        <w:pStyle w:val="P21"/>
        <w:framePr w:w="7654" w:h="331" w:hRule="exact" w:wrap="none" w:vAnchor="page" w:hAnchor="margin" w:x="28" w:y="15940"/>
        <w:rPr>
          <w:rStyle w:val="C16"/>
          <w:rtl w:val="0"/>
        </w:rPr>
      </w:pPr>
      <w:r>
        <w:rPr>
          <w:rStyle w:val="C16"/>
          <w:rtl w:val="0"/>
        </w:rPr>
        <w:t>Vedoucí detektiv/detektivka, 11.5.2026 4:55:18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bezpečnostních manažerů</w:t>
      </w:r>
    </w:p>
    <w:p>
      <w:pPr>
        <w:pStyle w:val="P21"/>
        <w:framePr w:w="7654" w:h="331" w:hRule="exact" w:wrap="none" w:vAnchor="page" w:hAnchor="margin" w:x="28" w:y="15940"/>
        <w:rPr>
          <w:rStyle w:val="C16"/>
          <w:rtl w:val="0"/>
        </w:rPr>
      </w:pPr>
      <w:r>
        <w:rPr>
          <w:rStyle w:val="C16"/>
          <w:rtl w:val="0"/>
        </w:rPr>
        <w:t>Vedoucí detektiv/detektivka, 11.5.2026 4:55:18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BA2A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59A7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92339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lowerLetter"/>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