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C4463" Type="http://schemas.openxmlformats.org/officeDocument/2006/relationships/officeDocument" Target="/word/document.xml" /><Relationship Id="coreR5FC4463" Type="http://schemas.openxmlformats.org/package/2006/relationships/metadata/core-properties" Target="/docProps/core.xml" /><Relationship Id="customR5FC44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detektiv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v konkrétním ekonomickém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29.10.2013 do: 06.07.2015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technicky schopna zajistit zveřejnění termínu a místa konání zkoušky a dalších nezbytných informací na internetových stránkách, a to v termínu odeslání pozvánky ke zkoušce.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ověří doklady, které musí uchazeč předložit, aby zkouška proběhla v souladu s platnými právními předpisy. Zdravotní způsobilost v rozsahu odpovídající ověřované kvalifikaci není požadována. Před zahájením vlastního ověřování musí být uchazeč seznámen s pracovištěm, organizací zkoušky a s požadavky bezpečnosti a ochrany zdraví při práci (BOZP), požární ochrany (PO) a dalšími omezeními a stanoví, které pomůcky uchazeč při zkoušce nesmí, resp. smí používat.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má formu písemné zkoušky a kombinace praktické a ústní zkoušky. Zkouška se skládá v českém jazyce.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písemné, se ověřují formou testu.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praktické předvedení anebo ústní ověření se prověřují formou řešení typových situací.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Soubor testových otázek obsahuje kompetence: Aplikování právních norem s důrazem na bezpečnostně právní problematiku a ochranu osobních údajů; Aplikování forem, metod a prostředků soukromé detektivní činnosti v konkrétním ekonomickém prostředí; Ovládání zásad obsluhy prostředků a pomůcek soukromé detektivní činnosti.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Každá kompetence je zastoupena v jedné nebo několika skupinách otázek. Při každé zkoušce musí být ověřeny všechny kompetence kvalifikačního standardu. Početní zastoupení jednotlivých skupin otázek v testu je stanoveno klíčem, který je součástí souboru otázek.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odpovědět nejméně 80 %, to je 24 otázek testu správně. Úspěšné vykonání písemné zkoušky je podmínkou pro konání praktické a ústní části zkoušky.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a ústní část zkoušky je založena na řešení konkrétních typových bezpečnostních nebo preventivně bezpečnostních situací. Uchazeč musí vyřešit dvě náhodně vybrané typové situace, vždy jednu ze skupiny A a jednu ze skupiny B souboru typových situací. Skupina A ověřuje kompetence Aplikování právních norem s důrazem na bezpečnostně právní problematiku a ochranu osobních údajů; Aplikování forem, metod a prostředků soukromé detektivní činnosti v konkrétním ekonomickém prostředí. Skupina B kompetence: Ovládání zásad obsluhy prostředků a pomůcek soukromé detektivní činnosti; Dokumentování a vyhodnocování informací, jejich evidence a příprava k předání klientovi; Zpracování informací s ohledem na využitelnost informačních zdrojů.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praktické a ústní části zkoušky musí být úspěšně vyřešeny obě typové situace. V každé typové situaci musí být splněny všechny úkoly (otázky) požadované k jejímu řešení. Při řešení typové situace se připouští dvě odchýlení. Za odchýlení se považuje použití nesprávného výrazu nebo záměna pořadí činností, které nemají vliv na celkově správné řešení situace (odpovědi).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mohou členové komise klást doplňující otázky.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soubor testových otázek a aktuální soubor typových situací je spravován a v elektronické podobě uchováván autorizujícím orgánem (Ministerstvem vnitra). Autorizovaným osobám budou tyto soubory předány prostřednictvím elektronické komunikace po udělení autorizace a dále při každé aktualizaci souborů otázek a typových situací.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testu včetně odpovědí uchazeče je součástí záznamu o průběhu a výsledku zkoušky a autorizovaná osoba jej musí archivovat v souladu s § 8 vyhlášky č. 208/2007 Sb. v platném znění, o podrobnostech stanovených k provedení zákona o uznávání výsledků dalšího vzdělávání.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