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D34919" Type="http://schemas.openxmlformats.org/officeDocument/2006/relationships/officeDocument" Target="/word/document.xml" /><Relationship Id="coreRDD34919" Type="http://schemas.openxmlformats.org/package/2006/relationships/metadata/core-properties" Target="/docProps/core.xml" /><Relationship Id="customRDD349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uživatelského rozhraní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Ověření funkčnosti programu a testování optimálnosti algoritmu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29.10.2013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Programátor, 11.9.2026 9:43:33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Zadaná úloha musí být taková, aby bylo třeba použít všechny následující algoritmické prostředky – cykly, podmínky, procedury, funkce – a z datových typů – objekty, pole, záznamy, soubory.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Programátor, 11.9.2026 9:43:33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IT a elektronické komunikace, ustavená a licencovaná pro tuto činnost HK ČR a SP ČR (AK ČR).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Odus-medica,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iCORD,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WEBVisions,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Programátor, 11.9.2026 9:43:33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