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4BDB09" Type="http://schemas.openxmlformats.org/officeDocument/2006/relationships/officeDocument" Target="/word/document.xml" /><Relationship Id="coreR554BDB09" Type="http://schemas.openxmlformats.org/package/2006/relationships/metadata/core-properties" Target="/docProps/core.xml" /><Relationship Id="customR554BDB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krematoria (kód: 69-047-M)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krematoria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činnosti a služby provozovatele krematoria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Zacházení s lidskými pozůstatky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Pietní nakládání se zpopelněnými lidskými ostatky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logistice a technologii zpopelňování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řádu krematoria a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evidence a dokumentace krematoria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Oceňování zpopelnění a služeb souvisejících s provozem krematoria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Administrátor krematoria, 20.10.2026 12:00:53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činnosti a služby provozovatele krematoria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pojmy podle zákona o pohřebnictví a vymezit jejich obsah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Definovat provozování krematoria, vymezit jeho náplň podle zákona o pohřebnictví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části zařízení krematoria na konkrétním pracovišti a předvést jeho ovládání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kdo může zřídit krematorium, uvést základní podmínky a formu jeho provozování a zdůvodnit účel ochranného pásma</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Vysvětlit veřejnoprávní a soukromoprávní služby v provozování krematoria</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environmentální, etické a náboženské souvislosti současné kremace, využití zbytkového tepla ze zpopelňování lidských pozůstatků</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a ústní ověření</w:t>
      </w:r>
    </w:p>
    <w:p>
      <w:pPr>
        <w:pStyle w:val="P12"/>
        <w:framePr w:w="6710" w:h="376" w:hRule="exact" w:wrap="none" w:vAnchor="page" w:hAnchor="margin" w:x="45" w:y="6938"/>
        <w:rPr>
          <w:rStyle w:val="C3"/>
          <w:rtl w:val="0"/>
        </w:rPr>
      </w:pPr>
    </w:p>
    <w:p>
      <w:pPr>
        <w:pStyle w:val="P13"/>
        <w:framePr w:w="6658" w:h="249" w:hRule="exact" w:wrap="none" w:vAnchor="page" w:hAnchor="margin" w:x="71" w:y="6994"/>
        <w:rPr>
          <w:rStyle w:val="C11"/>
          <w:rtl w:val="0"/>
        </w:rPr>
      </w:pPr>
      <w:r>
        <w:rPr>
          <w:rStyle w:val="C11"/>
          <w:rtl w:val="0"/>
        </w:rPr>
        <w:t>g) Vyjmenovat druhy použitelných rakví k zpopelnění a jejich značení</w:t>
      </w:r>
    </w:p>
    <w:p>
      <w:pPr>
        <w:pStyle w:val="P28"/>
        <w:framePr w:w="3921" w:h="376" w:hRule="exact" w:wrap="none" w:vAnchor="page" w:hAnchor="margin" w:x="6800" w:y="6938"/>
        <w:rPr>
          <w:rStyle w:val="C3"/>
          <w:rtl w:val="0"/>
        </w:rPr>
      </w:pPr>
    </w:p>
    <w:p>
      <w:pPr>
        <w:pStyle w:val="P29"/>
        <w:framePr w:w="3839" w:h="249" w:hRule="exact" w:wrap="none" w:vAnchor="page" w:hAnchor="margin" w:x="6856" w:y="6994"/>
        <w:rPr>
          <w:rStyle w:val="C21"/>
          <w:rtl w:val="0"/>
        </w:rPr>
      </w:pPr>
      <w:r>
        <w:rPr>
          <w:rStyle w:val="C21"/>
          <w:rtl w:val="0"/>
        </w:rPr>
        <w:t>Písemné a 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Zacházení s lidskými pozůstatky</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a) Definovat pojem pohřbení a zákonné podmínky nutné k manipulaci, úpravě, přechodnému uložení a vystavování lidských pozůstatků v otevřené rakvi</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Vyjmenovat zákonné požadavky pro převzetí lidských pozůstatků</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1055" w:hRule="exact" w:wrap="none" w:vAnchor="page" w:hAnchor="margin" w:x="45" w:y="9886"/>
        <w:rPr>
          <w:rStyle w:val="C3"/>
          <w:rtl w:val="0"/>
        </w:rPr>
      </w:pPr>
    </w:p>
    <w:p>
      <w:pPr>
        <w:pStyle w:val="P13"/>
        <w:framePr w:w="6658" w:h="928" w:hRule="exact" w:wrap="none" w:vAnchor="page" w:hAnchor="margin" w:x="71" w:y="9942"/>
        <w:rPr>
          <w:rStyle w:val="C11"/>
          <w:rtl w:val="0"/>
        </w:rPr>
      </w:pPr>
      <w:r>
        <w:rPr>
          <w:rStyle w:val="C11"/>
          <w:rtl w:val="0"/>
        </w:rPr>
        <w:t>c) Vyjmenovat pomůcky, nástroje a dokumentaci, potřebnou k převzetí lidských pozůstatků a lidských ostatků k úpravě v souladu s pokyny danými prohlížejícím lékařem nebo pokyny pověřeného orgánu hygienické služby, příp. Státního úřadu pro jadernou bezpečnost</w:t>
      </w:r>
    </w:p>
    <w:p>
      <w:pPr>
        <w:pStyle w:val="P28"/>
        <w:framePr w:w="3921" w:h="1055" w:hRule="exact" w:wrap="none" w:vAnchor="page" w:hAnchor="margin" w:x="6800" w:y="9886"/>
        <w:rPr>
          <w:rStyle w:val="C3"/>
          <w:rtl w:val="0"/>
        </w:rPr>
      </w:pPr>
    </w:p>
    <w:p>
      <w:pPr>
        <w:pStyle w:val="P29"/>
        <w:framePr w:w="3839" w:h="928" w:hRule="exact" w:wrap="none" w:vAnchor="page" w:hAnchor="margin" w:x="6856" w:y="9942"/>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Vyjmenovat podmínky pro provoz prostorů určených pro úpravu a přechodné ukládání lidských pozůstatků</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Písemné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Popsat nutná vybavení prostor pro úpravu a přechodné ukládání lidských pozůstatků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f) Vysvětlit na příkladech kritické hygienické body a místa kritická pro zranění nebo zavlečení nákazy do organismu a doporučit preventivní očkování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Písemné a ústní ověření</w:t>
      </w:r>
    </w:p>
    <w:p>
      <w:pPr>
        <w:pStyle w:val="P12"/>
        <w:framePr w:w="6710" w:h="1504" w:hRule="exact" w:wrap="none" w:vAnchor="page" w:hAnchor="margin" w:x="45" w:y="12762"/>
        <w:rPr>
          <w:rStyle w:val="C3"/>
          <w:rtl w:val="0"/>
        </w:rPr>
      </w:pPr>
    </w:p>
    <w:p>
      <w:pPr>
        <w:pStyle w:val="P13"/>
        <w:framePr w:w="6658" w:h="1377" w:hRule="exact" w:wrap="none" w:vAnchor="page" w:hAnchor="margin" w:x="71" w:y="12818"/>
        <w:rPr>
          <w:rStyle w:val="C11"/>
          <w:rtl w:val="0"/>
        </w:rPr>
      </w:pPr>
      <w:r>
        <w:rPr>
          <w:rStyle w:val="C11"/>
          <w:rtl w:val="0"/>
        </w:rPr>
        <w:t>g) Vysvětlit způsob dezinfekce pracovního oděvu a pomůcek, popř. způsob jejich detoxikace nebo likvidace (bylo-li při převozu podezření, že šlo o lidské pozůstatky osoby, která v době úmrtí byla nakažena infekčními onemocněními, vyvolanými vysoce rizikovými biologickými agens a jejich toxiny), vysvětlit důvody pro oddělení šatny špinavé a čisté, separátní pračky na montérky, separátního sociálního zařízení a sprchy</w:t>
      </w:r>
    </w:p>
    <w:p>
      <w:pPr>
        <w:pStyle w:val="P28"/>
        <w:framePr w:w="3921" w:h="1504" w:hRule="exact" w:wrap="none" w:vAnchor="page" w:hAnchor="margin" w:x="6800" w:y="12762"/>
        <w:rPr>
          <w:rStyle w:val="C3"/>
          <w:rtl w:val="0"/>
        </w:rPr>
      </w:pPr>
    </w:p>
    <w:p>
      <w:pPr>
        <w:pStyle w:val="P29"/>
        <w:framePr w:w="3839" w:h="1377" w:hRule="exact" w:wrap="none" w:vAnchor="page" w:hAnchor="margin" w:x="6856" w:y="12818"/>
        <w:rPr>
          <w:rStyle w:val="C21"/>
          <w:rtl w:val="0"/>
        </w:rPr>
      </w:pPr>
      <w:r>
        <w:rPr>
          <w:rStyle w:val="C21"/>
          <w:rtl w:val="0"/>
        </w:rPr>
        <w:t>Písemné a ústní ověření</w:t>
      </w:r>
    </w:p>
    <w:p>
      <w:pPr>
        <w:pStyle w:val="P16"/>
        <w:framePr w:w="6710" w:h="831" w:hRule="exact" w:wrap="none" w:vAnchor="page" w:hAnchor="margin" w:x="45" w:y="14266"/>
        <w:rPr>
          <w:rStyle w:val="C3"/>
          <w:rtl w:val="0"/>
        </w:rPr>
      </w:pPr>
    </w:p>
    <w:p>
      <w:pPr>
        <w:pStyle w:val="P17"/>
        <w:framePr w:w="6658" w:h="704" w:hRule="exact" w:wrap="none" w:vAnchor="page" w:hAnchor="margin" w:x="71" w:y="14322"/>
        <w:rPr>
          <w:rStyle w:val="C13"/>
          <w:rtl w:val="0"/>
        </w:rPr>
      </w:pPr>
      <w:r>
        <w:rPr>
          <w:rStyle w:val="C13"/>
          <w:rtl w:val="0"/>
        </w:rPr>
        <w:t>h) Zdůvodnit, proč lidské pozůstatky a ostatky, včetně nesnímatelných náhrad a ozdob, nejsou odpadem nebo věcí v občanskoprávním smyslu, kterou lze vlastnit, dědit nebo s ní obchodovat</w:t>
      </w:r>
    </w:p>
    <w:p>
      <w:pPr>
        <w:pStyle w:val="P30"/>
        <w:framePr w:w="3921" w:h="831" w:hRule="exact" w:wrap="none" w:vAnchor="page" w:hAnchor="margin" w:x="6800" w:y="14266"/>
        <w:rPr>
          <w:rStyle w:val="C3"/>
          <w:rtl w:val="0"/>
        </w:rPr>
      </w:pPr>
    </w:p>
    <w:p>
      <w:pPr>
        <w:pStyle w:val="P31"/>
        <w:framePr w:w="3839" w:h="704" w:hRule="exact" w:wrap="none" w:vAnchor="page" w:hAnchor="margin" w:x="6856" w:y="14322"/>
        <w:rPr>
          <w:rStyle w:val="C22"/>
          <w:rtl w:val="0"/>
        </w:rPr>
      </w:pPr>
      <w:r>
        <w:rPr>
          <w:rStyle w:val="C22"/>
          <w:rtl w:val="0"/>
        </w:rPr>
        <w:t>Ústní ověření</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20.10.2026 12:00:53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Pietní nakládání se zpopelněnými lidskými ostatky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zákonné povinnosti naložení s lidskými ostatky bezprostředně po zpopelnění a vysvětlit způsob pietního naložení s nespalitelnými zbytky a zbytky popela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Identifikovat původ nezpopelněných lidských ostatků; kdo je podle občanského zákoníku oprávněnou osobou k objednání zpopelnění exhumovaných lidských ostatků</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úřední urnu pro uložení zpopelněných lidských ostatků a její označení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možnosti zpopelňování i jiných spalitelných zbytků ze zdravotnictví (části těl – amputátů a podobně)</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Uvést osoby oprávněné k převzetí zpopelněných lidských ostatků z krematoria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Uložit nevyzvednuté zpopelněné ostatky po 12 měsících od kremace</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Aplikování základních zásad pohřbívání v poradenství pro pozůstalé</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a) Vysvětlit, v kterých prostorách nelze sjednávat pohřbení a proč</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b) Vyjmenovat podmínky pro povolenou reklamu v pohřebnictví</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Popsat, co musí vypravitel pohřbu přinést s sebou do provozovny pohřební služby, aby mohl sjednat pohřbení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Poradit pozůstalým, jak uzavřít nájemní smlouvu k hrobovému místu</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Vysvětlit účel parte, za jakých podmínek ho lze zveřejnit a uvést formy kondolence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f) Vyjmenovat zákonné možnosti čerpání pracovního volna s náhradou mzdy nebo platu na pohřební obřad</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g) Vystavit doklad o účasti na pohřbu</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h) Poradit, jak postupovat při úmrtí mimo zdravotnické zařízení</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12"/>
        <w:framePr w:w="6710" w:h="607" w:hRule="exact" w:wrap="none" w:vAnchor="page" w:hAnchor="margin" w:x="45" w:y="11895"/>
        <w:rPr>
          <w:rStyle w:val="C3"/>
          <w:rtl w:val="0"/>
        </w:rPr>
      </w:pPr>
    </w:p>
    <w:p>
      <w:pPr>
        <w:pStyle w:val="P13"/>
        <w:framePr w:w="6658" w:h="480" w:hRule="exact" w:wrap="none" w:vAnchor="page" w:hAnchor="margin" w:x="71" w:y="11951"/>
        <w:rPr>
          <w:rStyle w:val="C11"/>
          <w:rtl w:val="0"/>
        </w:rPr>
      </w:pPr>
      <w:r>
        <w:rPr>
          <w:rStyle w:val="C11"/>
          <w:rtl w:val="0"/>
        </w:rPr>
        <w:t>i) Poradit postup při úmrtí v zahraničí (i mimo členské státy EU) a při úmrtí cizince v ČR</w:t>
      </w:r>
    </w:p>
    <w:p>
      <w:pPr>
        <w:pStyle w:val="P28"/>
        <w:framePr w:w="3921" w:h="607" w:hRule="exact" w:wrap="none" w:vAnchor="page" w:hAnchor="margin" w:x="6800" w:y="11895"/>
        <w:rPr>
          <w:rStyle w:val="C3"/>
          <w:rtl w:val="0"/>
        </w:rPr>
      </w:pPr>
    </w:p>
    <w:p>
      <w:pPr>
        <w:pStyle w:val="P29"/>
        <w:framePr w:w="3839" w:h="480" w:hRule="exact" w:wrap="none" w:vAnchor="page" w:hAnchor="margin" w:x="6856" w:y="11951"/>
        <w:rPr>
          <w:rStyle w:val="C21"/>
          <w:rtl w:val="0"/>
        </w:rPr>
      </w:pPr>
      <w:r>
        <w:rPr>
          <w:rStyle w:val="C21"/>
          <w:rtl w:val="0"/>
        </w:rPr>
        <w:t>Praktické předvedení</w:t>
      </w:r>
    </w:p>
    <w:p>
      <w:pPr>
        <w:pStyle w:val="P16"/>
        <w:framePr w:w="6710" w:h="376" w:hRule="exact" w:wrap="none" w:vAnchor="page" w:hAnchor="margin" w:x="45" w:y="12502"/>
        <w:rPr>
          <w:rStyle w:val="C3"/>
          <w:rtl w:val="0"/>
        </w:rPr>
      </w:pPr>
    </w:p>
    <w:p>
      <w:pPr>
        <w:pStyle w:val="P17"/>
        <w:framePr w:w="6658" w:h="249" w:hRule="exact" w:wrap="none" w:vAnchor="page" w:hAnchor="margin" w:x="71" w:y="12558"/>
        <w:rPr>
          <w:rStyle w:val="C13"/>
          <w:rtl w:val="0"/>
        </w:rPr>
      </w:pPr>
      <w:r>
        <w:rPr>
          <w:rStyle w:val="C13"/>
          <w:rtl w:val="0"/>
        </w:rPr>
        <w:t>j) Nabídnout a vysvětlit více forem financování pohřbu</w:t>
      </w:r>
    </w:p>
    <w:p>
      <w:pPr>
        <w:pStyle w:val="P30"/>
        <w:framePr w:w="3921" w:h="376" w:hRule="exact" w:wrap="none" w:vAnchor="page" w:hAnchor="margin" w:x="6800" w:y="12502"/>
        <w:rPr>
          <w:rStyle w:val="C3"/>
          <w:rtl w:val="0"/>
        </w:rPr>
      </w:pPr>
    </w:p>
    <w:p>
      <w:pPr>
        <w:pStyle w:val="P31"/>
        <w:framePr w:w="3839" w:h="249" w:hRule="exact" w:wrap="none" w:vAnchor="page" w:hAnchor="margin" w:x="6856" w:y="12558"/>
        <w:rPr>
          <w:rStyle w:val="C22"/>
          <w:rtl w:val="0"/>
        </w:rPr>
      </w:pPr>
      <w:r>
        <w:rPr>
          <w:rStyle w:val="C22"/>
          <w:rtl w:val="0"/>
        </w:rPr>
        <w:t>Praktické předvedení</w:t>
      </w:r>
    </w:p>
    <w:p>
      <w:pPr>
        <w:pStyle w:val="P12"/>
        <w:framePr w:w="6710" w:h="607" w:hRule="exact" w:wrap="none" w:vAnchor="page" w:hAnchor="margin" w:x="45" w:y="12878"/>
        <w:rPr>
          <w:rStyle w:val="C3"/>
          <w:rtl w:val="0"/>
        </w:rPr>
      </w:pPr>
    </w:p>
    <w:p>
      <w:pPr>
        <w:pStyle w:val="P13"/>
        <w:framePr w:w="6658" w:h="480" w:hRule="exact" w:wrap="none" w:vAnchor="page" w:hAnchor="margin" w:x="71" w:y="12934"/>
        <w:rPr>
          <w:rStyle w:val="C11"/>
          <w:rtl w:val="0"/>
        </w:rPr>
      </w:pPr>
      <w:r>
        <w:rPr>
          <w:rStyle w:val="C11"/>
          <w:rtl w:val="0"/>
        </w:rPr>
        <w:t>k) Uvést, kdo odpovídá za přiměřené náklady spojené s pohřbem (i v případě odúmrti)</w:t>
      </w:r>
    </w:p>
    <w:p>
      <w:pPr>
        <w:pStyle w:val="P28"/>
        <w:framePr w:w="3921" w:h="607" w:hRule="exact" w:wrap="none" w:vAnchor="page" w:hAnchor="margin" w:x="6800" w:y="12878"/>
        <w:rPr>
          <w:rStyle w:val="C3"/>
          <w:rtl w:val="0"/>
        </w:rPr>
      </w:pPr>
    </w:p>
    <w:p>
      <w:pPr>
        <w:pStyle w:val="P29"/>
        <w:framePr w:w="3839" w:h="480" w:hRule="exact" w:wrap="none" w:vAnchor="page" w:hAnchor="margin" w:x="6856" w:y="12934"/>
        <w:rPr>
          <w:rStyle w:val="C21"/>
          <w:rtl w:val="0"/>
        </w:rPr>
      </w:pPr>
      <w:r>
        <w:rPr>
          <w:rStyle w:val="C21"/>
          <w:rtl w:val="0"/>
        </w:rPr>
        <w:t>Ústní ověření</w:t>
      </w:r>
    </w:p>
    <w:p>
      <w:pPr>
        <w:pStyle w:val="P16"/>
        <w:framePr w:w="6710" w:h="607" w:hRule="exact" w:wrap="none" w:vAnchor="page" w:hAnchor="margin" w:x="45" w:y="13485"/>
        <w:rPr>
          <w:rStyle w:val="C3"/>
          <w:rtl w:val="0"/>
        </w:rPr>
      </w:pPr>
    </w:p>
    <w:p>
      <w:pPr>
        <w:pStyle w:val="P17"/>
        <w:framePr w:w="6658" w:h="480" w:hRule="exact" w:wrap="none" w:vAnchor="page" w:hAnchor="margin" w:x="71" w:y="13541"/>
        <w:rPr>
          <w:rStyle w:val="C13"/>
          <w:rtl w:val="0"/>
        </w:rPr>
      </w:pPr>
      <w:r>
        <w:rPr>
          <w:rStyle w:val="C13"/>
          <w:rtl w:val="0"/>
        </w:rPr>
        <w:t>l) Popsat způsoby pohřbů a pohřbívání u lidí z jiných kultur (spjatých s územím ČR)</w:t>
      </w:r>
    </w:p>
    <w:p>
      <w:pPr>
        <w:pStyle w:val="P30"/>
        <w:framePr w:w="3921" w:h="607" w:hRule="exact" w:wrap="none" w:vAnchor="page" w:hAnchor="margin" w:x="6800" w:y="13485"/>
        <w:rPr>
          <w:rStyle w:val="C3"/>
          <w:rtl w:val="0"/>
        </w:rPr>
      </w:pPr>
    </w:p>
    <w:p>
      <w:pPr>
        <w:pStyle w:val="P31"/>
        <w:framePr w:w="3839" w:h="480" w:hRule="exact" w:wrap="none" w:vAnchor="page" w:hAnchor="margin" w:x="6856" w:y="13541"/>
        <w:rPr>
          <w:rStyle w:val="C22"/>
          <w:rtl w:val="0"/>
        </w:rPr>
      </w:pPr>
      <w:r>
        <w:rPr>
          <w:rStyle w:val="C22"/>
          <w:rtl w:val="0"/>
        </w:rPr>
        <w:t>Ústní ověření</w:t>
      </w:r>
    </w:p>
    <w:p>
      <w:pPr>
        <w:pStyle w:val="P32"/>
        <w:framePr w:w="10710" w:h="248" w:hRule="exact" w:wrap="none" w:vAnchor="page" w:hAnchor="margin" w:x="28" w:y="14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20.10.2026 12:00:53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logistice a technologii zpopelňování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osobu, která stanoví pravidla technologie zpopelňování na daném zařízení a vysvětlit obsah takových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Zjistit pro konkrétní krematorium dostupnost náhradních kremačních a pohřebních služeb, dojezdové vzdálenosti, navrhnout logistiku zpopelňování v případě havárie nebo krizového řízení, při kterém je potřeba zvýšit kapacitu žehu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Rozdělit kremační pece z hlediska zdrojů znečištění a povinnosti z toho vyplývající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technologická opatření zajišťující dodržení emisních limitů při zpopelňování v krematoriu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Navrhnout způsob a postup kontroly dodržování technologických postupů</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Zkontrolovat funkčnost a bezpečnost vyhrazených technických zařízení krematoria</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zásady ochrany zdraví a bezpečnosti pracovníků obsluhy kremačních zařízení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Vytváření řádu krematoria a provozního řádu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Vysvětlit základní náležitosti řádu krematoria, formy jeho vyhlášení, předchozí projednání a způsob zveřejnění</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Vytvořit komplexní návrh řádu krematoria podle zadání</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c) Uvést osobu, která vydává provozní řád kremačního zařízení a vysvětlit obsah takového řádu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340" w:hRule="exact" w:wrap="none" w:vAnchor="page" w:hAnchor="margin" w:x="28" w:y="10939"/>
        <w:rPr>
          <w:rStyle w:val="C18"/>
          <w:rtl w:val="0"/>
        </w:rPr>
      </w:pPr>
      <w:r>
        <w:rPr>
          <w:rStyle w:val="C18"/>
          <w:rtl w:val="0"/>
        </w:rPr>
        <w:t>Vedení předepsané evidence a dokumentace krematoria</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5"/>
        <w:rPr>
          <w:rStyle w:val="C3"/>
          <w:rtl w:val="0"/>
        </w:rPr>
      </w:pPr>
    </w:p>
    <w:p>
      <w:pPr>
        <w:pStyle w:val="P13"/>
        <w:framePr w:w="6658" w:h="249" w:hRule="exact" w:wrap="none" w:vAnchor="page" w:hAnchor="margin" w:x="71" w:y="11811"/>
        <w:rPr>
          <w:rStyle w:val="C11"/>
          <w:rtl w:val="0"/>
        </w:rPr>
      </w:pPr>
      <w:r>
        <w:rPr>
          <w:rStyle w:val="C11"/>
          <w:rtl w:val="0"/>
        </w:rPr>
        <w:t>a) Vyjmenovat údaje a způsob evidence při převzetí rakve k zpopelnění</w:t>
      </w:r>
    </w:p>
    <w:p>
      <w:pPr>
        <w:pStyle w:val="P28"/>
        <w:framePr w:w="3921" w:h="376" w:hRule="exact" w:wrap="none" w:vAnchor="page" w:hAnchor="margin" w:x="6800" w:y="11755"/>
        <w:rPr>
          <w:rStyle w:val="C3"/>
          <w:rtl w:val="0"/>
        </w:rPr>
      </w:pPr>
    </w:p>
    <w:p>
      <w:pPr>
        <w:pStyle w:val="P29"/>
        <w:framePr w:w="3839" w:h="249" w:hRule="exact" w:wrap="none" w:vAnchor="page" w:hAnchor="margin" w:x="6856" w:y="11811"/>
        <w:rPr>
          <w:rStyle w:val="C21"/>
          <w:rtl w:val="0"/>
        </w:rPr>
      </w:pPr>
      <w:r>
        <w:rPr>
          <w:rStyle w:val="C21"/>
          <w:rtl w:val="0"/>
        </w:rPr>
        <w:t>Písemné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Uvést základní právní normy pro shromažďování a zpracováváni osobních údajů pro evidenci v krematoriu</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povinné údaje vedené v evidenci k jednotlivým lidským pozůstatkům i ostatkům</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Ústní ověření</w:t>
      </w:r>
    </w:p>
    <w:p>
      <w:pPr>
        <w:pStyle w:val="P16"/>
        <w:framePr w:w="6710" w:h="831" w:hRule="exact" w:wrap="none" w:vAnchor="page" w:hAnchor="margin" w:x="45" w:y="13344"/>
        <w:rPr>
          <w:rStyle w:val="C3"/>
          <w:rtl w:val="0"/>
        </w:rPr>
      </w:pPr>
    </w:p>
    <w:p>
      <w:pPr>
        <w:pStyle w:val="P17"/>
        <w:framePr w:w="6658" w:h="704" w:hRule="exact" w:wrap="none" w:vAnchor="page" w:hAnchor="margin" w:x="71" w:y="13400"/>
        <w:rPr>
          <w:rStyle w:val="C13"/>
          <w:rtl w:val="0"/>
        </w:rPr>
      </w:pPr>
      <w:r>
        <w:rPr>
          <w:rStyle w:val="C13"/>
          <w:rtl w:val="0"/>
        </w:rPr>
        <w:t>d) Předvést možné formy a rozsah vedení evidence související s provozováním krematoria do svázané kremační knihy (kniha příjmů, kniha zpopelnění, výdej uren) dle zadání</w:t>
      </w:r>
    </w:p>
    <w:p>
      <w:pPr>
        <w:pStyle w:val="P30"/>
        <w:framePr w:w="3921" w:h="831" w:hRule="exact" w:wrap="none" w:vAnchor="page" w:hAnchor="margin" w:x="6800" w:y="13344"/>
        <w:rPr>
          <w:rStyle w:val="C3"/>
          <w:rtl w:val="0"/>
        </w:rPr>
      </w:pPr>
    </w:p>
    <w:p>
      <w:pPr>
        <w:pStyle w:val="P31"/>
        <w:framePr w:w="3839" w:h="704" w:hRule="exact" w:wrap="none" w:vAnchor="page" w:hAnchor="margin" w:x="6856" w:y="13400"/>
        <w:rPr>
          <w:rStyle w:val="C22"/>
          <w:rtl w:val="0"/>
        </w:rPr>
      </w:pPr>
      <w:r>
        <w:rPr>
          <w:rStyle w:val="C22"/>
          <w:rtl w:val="0"/>
        </w:rPr>
        <w:t>Praktické předvedení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e) Uvést doby a způsoby uchování písemností souvisejících s provozováním krematoria</w:t>
      </w:r>
    </w:p>
    <w:p>
      <w:pPr>
        <w:pStyle w:val="P28"/>
        <w:framePr w:w="3921" w:h="607" w:hRule="exact" w:wrap="none" w:vAnchor="page" w:hAnchor="margin" w:x="6800" w:y="14176"/>
        <w:rPr>
          <w:rStyle w:val="C3"/>
          <w:rtl w:val="0"/>
        </w:rPr>
      </w:pPr>
    </w:p>
    <w:p>
      <w:pPr>
        <w:pStyle w:val="P29"/>
        <w:framePr w:w="3839" w:h="480" w:hRule="exact" w:wrap="none" w:vAnchor="page" w:hAnchor="margin" w:x="6856" w:y="14232"/>
        <w:rPr>
          <w:rStyle w:val="C21"/>
          <w:rtl w:val="0"/>
        </w:rPr>
      </w:pPr>
      <w:r>
        <w:rPr>
          <w:rStyle w:val="C21"/>
          <w:rtl w:val="0"/>
        </w:rPr>
        <w:t>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20.10.2026 12:00:53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zpopelnění a služeb souvisejících s provozem krematoria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 obecně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náležitosti, které lze zahrnout do ceny za služby spojené se zpopelňováním lidských pozůstatků a exhumovaných ostatků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cenu stanoví,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princip regulace cen, její druhy, kdo je stanovuje a jak; Vyjmenovat rozsah regulace cen v pohřebnictví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kalkulační vzorec a sestavit konečnou cenu služby na konkrétním příkladu tvorby ceny ze zadaných podkladů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krematoria, 20.10.2026 12:00:53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krematoria. V reálném provozu jsou na konkrétních příkladech činností ověřovány odborné kompetence v souladu s hodnoticím standardem.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může skládat ze dvou časově i prostorově oddělených částí. Konkrétní úkoly a jejich rozsah určí autorizovaná osoba. Na jednom úkolu je možné ověřit kritéria hodnocení z několika odborných kompetencí.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"písemné a ústní ověření" uchazeč písemně vypracuje a ústně doplní či dovysvětlí dané úkoly. V případě ověření způsobem "praktické předvedení a ústní ověření" uchazeč prakticky splní a ústně doplní či dovysvětlí dané úkony.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Pietní nakládání se zpopelněnými lidskými ostatky, kritérium f) uchazeč předvede uložení ostatků na modelové situaci s urnou bez zpopelněných ostatků. U odborné kompetence Vedení předepsané evidence a dokumentace krematoria, kritérium d); Vytváření řádu krematoria a provozního řádu, kritérium b) autorizovaná osoba připraví jedno zadání, na základě kterého uchazeč splní daná kritéria. U odborné kompetence Oceňování zpopelnění a služeb souvisejících s provozem krematoria, kriterium e) autorizovaná osoba připraví podklady pro splnění daného kritéria. U odborné kompetence Aplikování základních zásad pohřbívání v poradenství pro pozůstalé, kritérium d), h), i) a j) uchazeč předvede na jedné modelové situaci jednání vůči pozůstalým, role pozůstalých se zhostí zkoušející a pro kritérium l) vybere jednu z následujících komunit (židovská, muslimská, romská, vietnamská, ukrajinská), kterou zadá uchazeči pro splnění daného kritéria. U odborné kompetence Zacházení s lidskými pozůstatky, kritérium c) autorizovaná osoba zajistí pro modelovou situaci pokyny dané prohlížejícím lékařem nebo pokyny pověřeného orgánu hygienické služby, příp. Státního úřadu pro jadernou bezpečnost.</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krematoria, 20.10.2026 12:00:53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krematoria.</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69-047-M Administrátor krematoria, střední vzdělání s výučním listem a alespoň 5 let odborné praxe v oblasti provozování krematoria.</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568"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krematoria – i demoverze</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 krematoria</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pohřebnictví v platném znění v e-podobě nebo tištěné (v případě tištěné podoby je potřeba mít ke zkoušce počet výtisků podle počtu uchazečů o zkoušku)</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smlouvy o dílo</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•úřední urna </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•provozuschopné kremační zařízení s provozním řádem a popisem technologie žehu</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•svázaná kremační kniha</w:t>
      </w:r>
    </w:p>
    <w:p>
      <w:pPr>
        <w:keepNext w:val="0"/>
        <w:keepLines w:val="1"/>
        <w:framePr w:w="10766" w:h="4228"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kancelářské potřeby (např. kalkulačka)</w:t>
      </w:r>
    </w:p>
    <w:p>
      <w:pPr>
        <w:keepNext w:val="0"/>
        <w:keepLines w:val="0"/>
        <w:framePr w:w="10766" w:h="4228"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71"/>
        <w:rPr>
          <w:rStyle w:val="C3"/>
          <w:rtl w:val="0"/>
        </w:rPr>
      </w:pPr>
    </w:p>
    <w:p>
      <w:pPr>
        <w:pStyle w:val="P35"/>
        <w:framePr w:w="10710" w:h="340" w:hRule="exact" w:wrap="none" w:vAnchor="page" w:hAnchor="margin" w:x="28" w:y="14371"/>
        <w:rPr>
          <w:rStyle w:val="C25"/>
          <w:rtl w:val="0"/>
        </w:rPr>
      </w:pPr>
      <w:r>
        <w:rPr>
          <w:rStyle w:val="C25"/>
          <w:rtl w:val="0"/>
        </w:rPr>
        <w:t>Doba přípravy na zkoušku</w:t>
      </w:r>
    </w:p>
    <w:p>
      <w:pPr>
        <w:keepNext w:val="0"/>
        <w:keepLines w:val="0"/>
        <w:framePr w:w="10766" w:h="806" w:hRule="exact" w:wrap="none" w:vAnchor="page" w:hAnchor="margin" w:x="0" w:y="14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Administrátor krematoria, 20.10.2026 12:00:53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Administrátor krematoria, 20.10.2026 12:00:53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 krematoria, 20.10.2026 12:00:53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6ACC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B2CF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05E5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