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F45FFD" Type="http://schemas.openxmlformats.org/officeDocument/2006/relationships/officeDocument" Target="/word/document.xml" /><Relationship Id="coreR4AF45FFD" Type="http://schemas.openxmlformats.org/package/2006/relationships/metadata/core-properties" Target="/docProps/core.xml" /><Relationship Id="customR4AF45F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krematoria (kód: 69-047-M)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krematoria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činnosti a služby provozovatele krematoria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zákonného zacházení s lidskými pozůstatky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Pietní nakládání se zpopelněnými lidskými ostatky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logistice a technologii zpopelňování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řádu krematoria a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evidence a dokumentace krematoria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Oceňování zpopelnění a služeb souvisejících s provozem krematoria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Administrátor krematoria, 17.4.2026 4:30:00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činnosti a služby provozovatele krematoria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pojmy dle zákona o pohřebnictví a vymezit jejich obsah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Definovat provozování krematoria, vymezit jeho náplň dle zákona o pohřebnictví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nebo 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funkčnost základních částí zařízení krematoria na konkrétním pracovišti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kdo může zřídit krematorium a uvést základní podmínky a formu jeho provozování; ochranné pásmo</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Rozlišit veřejnoprávní a soukromoprávní služby v provozování krematoria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environmentální, etické a náboženské souvislosti současné kremace, využití zbytkového tepla ze zpopelňování lidských pozůstatků</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nebo 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Vyjmenovat druhy použitelných rakví ke zpopelnění a jejich značení (s aplikací např. ČSN, provozního řádu apod.)</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nebo písemné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Dodržování zákonného zacházení s lidskými pozůstatky</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a) Definovat pojem pohřbení a zákonné podmínky nutné k manipulaci, úpravě, přechodného uložení a vystavování lidských pozůstatků v otevřené rakvi</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Ústní ověření</w:t>
      </w:r>
    </w:p>
    <w:p>
      <w:pPr>
        <w:pStyle w:val="P16"/>
        <w:framePr w:w="6710" w:h="376" w:hRule="exact" w:wrap="none" w:vAnchor="page" w:hAnchor="margin" w:x="45" w:y="9740"/>
        <w:rPr>
          <w:rStyle w:val="C3"/>
          <w:rtl w:val="0"/>
        </w:rPr>
      </w:pPr>
    </w:p>
    <w:p>
      <w:pPr>
        <w:pStyle w:val="P17"/>
        <w:framePr w:w="6658" w:h="249" w:hRule="exact" w:wrap="none" w:vAnchor="page" w:hAnchor="margin" w:x="71" w:y="9796"/>
        <w:rPr>
          <w:rStyle w:val="C13"/>
          <w:rtl w:val="0"/>
        </w:rPr>
      </w:pPr>
      <w:r>
        <w:rPr>
          <w:rStyle w:val="C13"/>
          <w:rtl w:val="0"/>
        </w:rPr>
        <w:t>b) Zkontrolovat doklady o úmrtí před převzetím lidských pozůstatků</w:t>
      </w:r>
    </w:p>
    <w:p>
      <w:pPr>
        <w:pStyle w:val="P30"/>
        <w:framePr w:w="3921" w:h="376" w:hRule="exact" w:wrap="none" w:vAnchor="page" w:hAnchor="margin" w:x="6800" w:y="9740"/>
        <w:rPr>
          <w:rStyle w:val="C3"/>
          <w:rtl w:val="0"/>
        </w:rPr>
      </w:pPr>
    </w:p>
    <w:p>
      <w:pPr>
        <w:pStyle w:val="P31"/>
        <w:framePr w:w="3839" w:h="249" w:hRule="exact" w:wrap="none" w:vAnchor="page" w:hAnchor="margin" w:x="6856" w:y="9796"/>
        <w:rPr>
          <w:rStyle w:val="C22"/>
          <w:rtl w:val="0"/>
        </w:rPr>
      </w:pPr>
      <w:r>
        <w:rPr>
          <w:rStyle w:val="C22"/>
          <w:rtl w:val="0"/>
        </w:rPr>
        <w:t>Ústní nebo písemné ověření</w:t>
      </w:r>
    </w:p>
    <w:p>
      <w:pPr>
        <w:pStyle w:val="P12"/>
        <w:framePr w:w="6710" w:h="1055" w:hRule="exact" w:wrap="none" w:vAnchor="page" w:hAnchor="margin" w:x="45" w:y="10116"/>
        <w:rPr>
          <w:rStyle w:val="C3"/>
          <w:rtl w:val="0"/>
        </w:rPr>
      </w:pPr>
    </w:p>
    <w:p>
      <w:pPr>
        <w:pStyle w:val="P13"/>
        <w:framePr w:w="6658" w:h="928" w:hRule="exact" w:wrap="none" w:vAnchor="page" w:hAnchor="margin" w:x="71" w:y="10172"/>
        <w:rPr>
          <w:rStyle w:val="C11"/>
          <w:rtl w:val="0"/>
        </w:rPr>
      </w:pPr>
      <w:r>
        <w:rPr>
          <w:rStyle w:val="C11"/>
          <w:rtl w:val="0"/>
        </w:rPr>
        <w:t>c) Vyjmenovat pomůcky, nástroje a dokumentaci potřebnou k převzetí lidských pozůstatků a lidských ostatků k úpravě a řídit se pokyny daných prohlížejícím lékařem nebo pokyny pověřeného orgánu hygienické služby, příp. Státního úřadu pro jadernou bezpečnost</w:t>
      </w:r>
    </w:p>
    <w:p>
      <w:pPr>
        <w:pStyle w:val="P28"/>
        <w:framePr w:w="3921" w:h="1055" w:hRule="exact" w:wrap="none" w:vAnchor="page" w:hAnchor="margin" w:x="6800" w:y="10116"/>
        <w:rPr>
          <w:rStyle w:val="C3"/>
          <w:rtl w:val="0"/>
        </w:rPr>
      </w:pPr>
    </w:p>
    <w:p>
      <w:pPr>
        <w:pStyle w:val="P29"/>
        <w:framePr w:w="3839" w:h="928" w:hRule="exact" w:wrap="none" w:vAnchor="page" w:hAnchor="margin" w:x="6856" w:y="10172"/>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d) Charakterizovat zákonem stanovené podmínky pro provoz prostorů určených pro úpravu a přechodné ukládání lidských pozůstatků</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e) Charakterizovat nutná vybavení prostor pro úpravu lidských pozůstatků</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Ústní ověření</w:t>
      </w:r>
    </w:p>
    <w:p>
      <w:pPr>
        <w:pStyle w:val="P16"/>
        <w:framePr w:w="6710" w:h="831" w:hRule="exact" w:wrap="none" w:vAnchor="page" w:hAnchor="margin" w:x="45" w:y="12155"/>
        <w:rPr>
          <w:rStyle w:val="C3"/>
          <w:rtl w:val="0"/>
        </w:rPr>
      </w:pPr>
    </w:p>
    <w:p>
      <w:pPr>
        <w:pStyle w:val="P17"/>
        <w:framePr w:w="6658" w:h="704" w:hRule="exact" w:wrap="none" w:vAnchor="page" w:hAnchor="margin" w:x="71" w:y="12211"/>
        <w:rPr>
          <w:rStyle w:val="C13"/>
          <w:rtl w:val="0"/>
        </w:rPr>
      </w:pPr>
      <w:r>
        <w:rPr>
          <w:rStyle w:val="C13"/>
          <w:rtl w:val="0"/>
        </w:rPr>
        <w:t>f) Charakterizovat na příkladech kritické hygienické body a místa kritická pro zranění nebo zavlečení nákazy do organismu. Doporučit preventivní očkování proti žloutence a dalším nemocem</w:t>
      </w:r>
    </w:p>
    <w:p>
      <w:pPr>
        <w:pStyle w:val="P30"/>
        <w:framePr w:w="3921" w:h="831" w:hRule="exact" w:wrap="none" w:vAnchor="page" w:hAnchor="margin" w:x="6800" w:y="12155"/>
        <w:rPr>
          <w:rStyle w:val="C3"/>
          <w:rtl w:val="0"/>
        </w:rPr>
      </w:pPr>
    </w:p>
    <w:p>
      <w:pPr>
        <w:pStyle w:val="P31"/>
        <w:framePr w:w="3839" w:h="704" w:hRule="exact" w:wrap="none" w:vAnchor="page" w:hAnchor="margin" w:x="6856" w:y="12211"/>
        <w:rPr>
          <w:rStyle w:val="C22"/>
          <w:rtl w:val="0"/>
        </w:rPr>
      </w:pPr>
      <w:r>
        <w:rPr>
          <w:rStyle w:val="C22"/>
          <w:rtl w:val="0"/>
        </w:rPr>
        <w:t>Ústní nebo písemné ověření</w:t>
      </w:r>
    </w:p>
    <w:p>
      <w:pPr>
        <w:pStyle w:val="P12"/>
        <w:framePr w:w="6710" w:h="1504" w:hRule="exact" w:wrap="none" w:vAnchor="page" w:hAnchor="margin" w:x="45" w:y="12986"/>
        <w:rPr>
          <w:rStyle w:val="C3"/>
          <w:rtl w:val="0"/>
        </w:rPr>
      </w:pPr>
    </w:p>
    <w:p>
      <w:pPr>
        <w:pStyle w:val="P13"/>
        <w:framePr w:w="6658" w:h="1377" w:hRule="exact" w:wrap="none" w:vAnchor="page" w:hAnchor="margin" w:x="71" w:y="13042"/>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sprchy</w:t>
      </w:r>
    </w:p>
    <w:p>
      <w:pPr>
        <w:pStyle w:val="P28"/>
        <w:framePr w:w="3921" w:h="1504" w:hRule="exact" w:wrap="none" w:vAnchor="page" w:hAnchor="margin" w:x="6800" w:y="12986"/>
        <w:rPr>
          <w:rStyle w:val="C3"/>
          <w:rtl w:val="0"/>
        </w:rPr>
      </w:pPr>
    </w:p>
    <w:p>
      <w:pPr>
        <w:pStyle w:val="P29"/>
        <w:framePr w:w="3839" w:h="1377" w:hRule="exact" w:wrap="none" w:vAnchor="page" w:hAnchor="margin" w:x="6856" w:y="13042"/>
        <w:rPr>
          <w:rStyle w:val="C21"/>
          <w:rtl w:val="0"/>
        </w:rPr>
      </w:pPr>
      <w:r>
        <w:rPr>
          <w:rStyle w:val="C21"/>
          <w:rtl w:val="0"/>
        </w:rPr>
        <w:t>Ústní nebo písemné ověření</w:t>
      </w:r>
    </w:p>
    <w:p>
      <w:pPr>
        <w:pStyle w:val="P16"/>
        <w:framePr w:w="6710" w:h="831" w:hRule="exact" w:wrap="none" w:vAnchor="page" w:hAnchor="margin" w:x="45" w:y="14490"/>
        <w:rPr>
          <w:rStyle w:val="C3"/>
          <w:rtl w:val="0"/>
        </w:rPr>
      </w:pPr>
    </w:p>
    <w:p>
      <w:pPr>
        <w:pStyle w:val="P17"/>
        <w:framePr w:w="6658" w:h="704" w:hRule="exact" w:wrap="none" w:vAnchor="page" w:hAnchor="margin" w:x="71" w:y="14546"/>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14490"/>
        <w:rPr>
          <w:rStyle w:val="C3"/>
          <w:rtl w:val="0"/>
        </w:rPr>
      </w:pPr>
    </w:p>
    <w:p>
      <w:pPr>
        <w:pStyle w:val="P31"/>
        <w:framePr w:w="3839" w:h="704" w:hRule="exact" w:wrap="none" w:vAnchor="page" w:hAnchor="margin" w:x="6856" w:y="14546"/>
        <w:rPr>
          <w:rStyle w:val="C22"/>
          <w:rtl w:val="0"/>
        </w:rPr>
      </w:pPr>
      <w:r>
        <w:rPr>
          <w:rStyle w:val="C22"/>
          <w:rtl w:val="0"/>
        </w:rPr>
        <w:t>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17.4.2026 4:30:00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Pietní nakládání se zpopelněnými lidskými ostatky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zákonné povinnosti naložení s lidskými ostatky bezprostředně po zpopelnění a vysvětlit způsob pietního naložení s nespalitelnými zbytky a zbytky popela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Identifikovat původ nezpopelněných lidských ostatků; kdo je podle občanského zákoníku oprávněnou osobou k objednání zpopelnění exhumovaných lidských ostatků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nebo 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úřední urnu a charakterizovat další urny pro uložení zpopelněných lidských ostatků podle jejich účelu (ekologické, interiérové, transportní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nebo 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zpopelňování i jiných spalitelných zbytků ze zdravotnictví (části těl – amputátů a podobně)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nebo písemné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Uvést osoby oprávněné k převzetí zpopelněných lidských ostatků z krematoria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Uložit nevyzvednuté zpopelněné ostatky po 12 měsících</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Aplikování základních zásad pohřbívání v poradenství pro pozůstalé</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tělo zemřelého umýt, upravit a obléci)</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Ústní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ověření</w:t>
      </w:r>
    </w:p>
    <w:p>
      <w:pPr>
        <w:pStyle w:val="P16"/>
        <w:framePr w:w="6710" w:h="831" w:hRule="exact" w:wrap="none" w:vAnchor="page" w:hAnchor="margin" w:x="45" w:y="10686"/>
        <w:rPr>
          <w:rStyle w:val="C3"/>
          <w:rtl w:val="0"/>
        </w:rPr>
      </w:pPr>
    </w:p>
    <w:p>
      <w:pPr>
        <w:pStyle w:val="P17"/>
        <w:framePr w:w="6658" w:h="704" w:hRule="exact" w:wrap="none" w:vAnchor="page" w:hAnchor="margin" w:x="71" w:y="10742"/>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10686"/>
        <w:rPr>
          <w:rStyle w:val="C3"/>
          <w:rtl w:val="0"/>
        </w:rPr>
      </w:pPr>
    </w:p>
    <w:p>
      <w:pPr>
        <w:pStyle w:val="P31"/>
        <w:framePr w:w="3839" w:h="704" w:hRule="exact" w:wrap="none" w:vAnchor="page" w:hAnchor="margin" w:x="6856" w:y="10742"/>
        <w:rPr>
          <w:rStyle w:val="C22"/>
          <w:rtl w:val="0"/>
        </w:rPr>
      </w:pPr>
      <w:r>
        <w:rPr>
          <w:rStyle w:val="C22"/>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17.4.2026 4:30:00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logistice a technologii zpopelňování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autoritu, která stanoví pravidla technologie zpopelňování na daném zařízení a vysvětlit obsah takových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Zjistit pro konkrétní krematorium dostupnost náhradních kremačních a pohřebních služeb, dojezdové vzdálenosti, navrhnout logistiku zpopelňování v případě havárie nebo krizového řízení, při kterém je potřeba zvýšit kapacitu žehu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Kategorizovat kremační pece z hlediska zdrojů znečištění a povinnosti z toho vyplývající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nebo 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technologická opatření zajišťující dodržení emisních limitů při zpopelňování v krematoriu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nebo písemné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Navrhnout způsob a postup kontroly dodržování technologických postupů</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nebo 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Zkontrolovat funkčnost a bezpečnost vyhrazených technických zařízení krematoria</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zásady ochrany zdraví a bezpečnosti pracovníků obsluhy kremačních zařízení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Vytváření řádu krematoria a provozního řádu</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Vymezit základní náležitosti řádu krematoria, formy jeho vyhlášení, předchozí projednání a způsob zveřejnění</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Ústní nebo písemné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Vytvořit komplexní návrh Řádu krematoria dle zadání</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c) Určit autoritu, která vydává provozní řád kremačního zařízení a vysvětlit obsah takového řádu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nebo písemné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340" w:hRule="exact" w:wrap="none" w:vAnchor="page" w:hAnchor="margin" w:x="28" w:y="10939"/>
        <w:rPr>
          <w:rStyle w:val="C18"/>
          <w:rtl w:val="0"/>
        </w:rPr>
      </w:pPr>
      <w:r>
        <w:rPr>
          <w:rStyle w:val="C18"/>
          <w:rtl w:val="0"/>
        </w:rPr>
        <w:t>Vedení předepsané evidence a dokumentace krematoria</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a) Uvést základní právní normy pro shromažďování a zpracováváni osobních údajů pro evidenci v krematoriu</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Ústní ověření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b) Vyjmenovat povinné údaje vedené v evidenci k jednotlivým lidským pozůstatkům i ostatkům</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Ústní ověření</w:t>
      </w:r>
    </w:p>
    <w:p>
      <w:pPr>
        <w:pStyle w:val="P12"/>
        <w:framePr w:w="6710" w:h="831" w:hRule="exact" w:wrap="none" w:vAnchor="page" w:hAnchor="margin" w:x="45" w:y="12968"/>
        <w:rPr>
          <w:rStyle w:val="C3"/>
          <w:rtl w:val="0"/>
        </w:rPr>
      </w:pPr>
    </w:p>
    <w:p>
      <w:pPr>
        <w:pStyle w:val="P13"/>
        <w:framePr w:w="6658" w:h="704" w:hRule="exact" w:wrap="none" w:vAnchor="page" w:hAnchor="margin" w:x="71" w:y="13024"/>
        <w:rPr>
          <w:rStyle w:val="C11"/>
          <w:rtl w:val="0"/>
        </w:rPr>
      </w:pPr>
      <w:r>
        <w:rPr>
          <w:rStyle w:val="C11"/>
          <w:rtl w:val="0"/>
        </w:rPr>
        <w:t>c) Demonstrovat možné formy a rozsah vedení evidence související s provozováním krematoria (kniha příjmů, kniha zpopelnění, výdej uren) včetně ukázky na předem zvoleném software</w:t>
      </w:r>
    </w:p>
    <w:p>
      <w:pPr>
        <w:pStyle w:val="P28"/>
        <w:framePr w:w="3921" w:h="831" w:hRule="exact" w:wrap="none" w:vAnchor="page" w:hAnchor="margin" w:x="6800" w:y="12968"/>
        <w:rPr>
          <w:rStyle w:val="C3"/>
          <w:rtl w:val="0"/>
        </w:rPr>
      </w:pPr>
    </w:p>
    <w:p>
      <w:pPr>
        <w:pStyle w:val="P29"/>
        <w:framePr w:w="3839" w:h="704" w:hRule="exact" w:wrap="none" w:vAnchor="page" w:hAnchor="margin" w:x="6856" w:y="13024"/>
        <w:rPr>
          <w:rStyle w:val="C21"/>
          <w:rtl w:val="0"/>
        </w:rPr>
      </w:pPr>
      <w:r>
        <w:rPr>
          <w:rStyle w:val="C21"/>
          <w:rtl w:val="0"/>
        </w:rPr>
        <w:t>Praktické předvedení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d) Uvést účelné doby a způsoby archivace písemností souvisejících s provozováním krematoria</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17.4.2026 4:30:00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zpopelnění a služeb souvisejících s provozem krematoria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 obecně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náležitosti, které lze zahrnout do ceny za služby spojené se zpopelňováním lidských pozůstatků a exhumovaných ostatků a vymezit její určené podmínky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kdo obecně cenu stanoví, jak se vyhlašuje a eviduje</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princip regulace cen, její druhy, kdo je stanoví a jak. Vyjmenovat rozsah regulace cen v pohřebnictví</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17.4.2026 4:30:00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ověřování kompetence „Orientace v logistice a technologii zpopelňování“ se provede komplexní jeden cyklus zpopelnění při vysokých teplotách 850 °C – 1100 °C v kremační peci v uspořádání jednoúrovňovém nebo dvouúrovňovém včetně příjmu lidských pozůstatků, jejich přechodného uložení a výdeje urny s lidským popelem oprávněné osobě.</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krematoria, 17.4.2026 4:30:00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provozování krematoria, z toho minimálně jeden rok v období posledních dvou let před podáním žádosti o udělení autorizace.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administrátor krematoria, střední vzdělání s výučním listem a alespoň 5 let odborné praxe v oblasti provozování krematoria, z toho minimálně jeden rok v období posledních dvou let před podáním žádosti o udělení autorizace.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54"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krematoria – i demoverze</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 krematoria</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smlouvy o dílo</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Úřední urna se zpopelněnými lidskými ostatky, ke kterým se nikdo 12 měsíců nehlásí</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Provozuschopné kremační zařízení s provozním řádem a popisem technologie žehu</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92"/>
        <w:rPr>
          <w:rStyle w:val="C3"/>
          <w:rtl w:val="0"/>
        </w:rPr>
      </w:pPr>
    </w:p>
    <w:p>
      <w:pPr>
        <w:pStyle w:val="P35"/>
        <w:framePr w:w="10710" w:h="340" w:hRule="exact" w:wrap="none" w:vAnchor="page" w:hAnchor="margin" w:x="28" w:y="13992"/>
        <w:rPr>
          <w:rStyle w:val="C25"/>
          <w:rtl w:val="0"/>
        </w:rPr>
      </w:pPr>
      <w:r>
        <w:rPr>
          <w:rStyle w:val="C25"/>
          <w:rtl w:val="0"/>
        </w:rPr>
        <w:t>Doba přípravy na zkoušku</w:t>
      </w:r>
    </w:p>
    <w:p>
      <w:pPr>
        <w:keepNext w:val="0"/>
        <w:keepLines w:val="0"/>
        <w:framePr w:w="10766" w:h="1036" w:hRule="exact" w:wrap="none" w:vAnchor="page" w:hAnchor="margin" w:x="0" w:y="14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 krematoria, 17.4.2026 4:30:00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Administrátor krematoria, 17.4.2026 4:30:00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pStyle w:val="P21"/>
        <w:framePr w:w="7654" w:h="331" w:hRule="exact" w:wrap="none" w:vAnchor="page" w:hAnchor="margin" w:x="28" w:y="15940"/>
        <w:rPr>
          <w:rStyle w:val="C16"/>
          <w:rtl w:val="0"/>
        </w:rPr>
      </w:pPr>
      <w:r>
        <w:rPr>
          <w:rStyle w:val="C16"/>
          <w:rtl w:val="0"/>
        </w:rPr>
        <w:t>Administrátor krematoria, 17.4.2026 4:30:00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A18CD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