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EC498" Type="http://schemas.openxmlformats.org/officeDocument/2006/relationships/officeDocument" Target="/word/document.xml" /><Relationship Id="coreR5BEC498" Type="http://schemas.openxmlformats.org/package/2006/relationships/metadata/core-properties" Target="/docProps/core.xml" /><Relationship Id="customR5BEC4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činnosti a služby provozovatele krematoria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zákonného zacházení s lidskými pozůstatky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Pietní nakládání se zpopelněnými lidskými ostatky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logistice a technologii zpopelňování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řádu krematoria a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evidence a dokumentace krematoria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Oceňování zpopelnění a služeb souvisejících s provozem krematoria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17.10.2026 6:17:58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během zkoušky zaručit dodržování nejen zásad ochrany hygieny a životního prostředí, ale i ochrany postmortální osobnosti zemřelého a osobně zajistit, aby s mrtvým lidským tělem bylo nakládáno uctivě a důstojně. Pořizování audiovizuálních záznamů z průběhu zkoušky je zakázáno.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Během ověřování kompetence „Orientace v logistice a technologii zpopelňování“ se provede komplexní jeden cyklus zpopelnění při vysokých teplotách 850 °C – 1100 °C v kremační peci v uspořádání jednoúrovňovém nebo dvouúrovňovém včetně příjmu lidských pozůstatků, jejich přechodného uložení a výdeje urny s lidským popelem oprávněné osobě.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17.10.2026 6:17:58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města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Graf ̶ lektor a soudní znalec pohřebnictví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 v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17.10.2026 6:17:58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