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634AE2" Type="http://schemas.openxmlformats.org/officeDocument/2006/relationships/officeDocument" Target="/word/document.xml" /><Relationship Id="coreR21634AE2" Type="http://schemas.openxmlformats.org/package/2006/relationships/metadata/core-properties" Target="/docProps/core.xml" /><Relationship Id="customR21634A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Posunovač/posunovačka (kód: 37-013-H)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dokumentaci a v základních informacích železniční dopravy při posunu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Provádění posunu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Zajišťování železničních vozů při posunu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Obsluha železničních návěstidel při posunu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Obsluha brzd železničních vozů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3</w:t>
      </w:r>
    </w:p>
    <w:p>
      <w:pPr>
        <w:pStyle w:val="P15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557"/>
        <w:rPr>
          <w:rStyle w:val="C12"/>
          <w:rtl w:val="0"/>
        </w:rPr>
      </w:pPr>
      <w:r>
        <w:rPr>
          <w:rStyle w:val="C12"/>
          <w:rtl w:val="0"/>
        </w:rPr>
        <w:t>Provádění posunu v dopravním obvodu s ručně ovládanými výhybkami a výkolejkami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11.7.2026 4:47:32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451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http://katalog.nsp.cz/karta_tp.aspx?id_jp=100965&amp;kod_sm1=14).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11.7.2026 4:47:32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Posunovač/posunovačka, 11.7.2026 4:47:32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