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11DCC1F" Type="http://schemas.openxmlformats.org/officeDocument/2006/relationships/officeDocument" Target="/word/document.xml" /><Relationship Id="coreR211DCC1F" Type="http://schemas.openxmlformats.org/package/2006/relationships/metadata/core-properties" Target="/docProps/core.xml" /><Relationship Id="customR211DCC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Zasněžovač/zasněžovačka (kód: 23-081-H)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sněžných pásových vozidel a technického zasněžování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technického sněhu – obsluha a provoz systému technického zasněžování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údržba zasněžovací techniky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https://nsp.cz/jednotka-prace/zasnezovac#zdravotni-zpusobilost).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být ověřeny všechny kompetence kvalifikačního standardu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To znamená, že v případě, kdy se některé kompetence nebo kritéria ověřují pomocí losovaných otázek, musí být splněny následující dvě podmínky: 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(myslí se kritérium, u něhož jsou losované otázky způsobem ověření a v návaznosti na pokyn, která kritéria je třeba u zkoušky splnit).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lanové dopravy, o.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lyžařů,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Sportovní areál Harrachov,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města Ústí nad Labem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centrum Dolní Morava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park Červená Voda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Kolín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Března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20:51:30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