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D0EB31" Type="http://schemas.openxmlformats.org/officeDocument/2006/relationships/officeDocument" Target="/word/document.xml" /><Relationship Id="coreR57D0EB31" Type="http://schemas.openxmlformats.org/package/2006/relationships/metadata/core-properties" Target="/docProps/core.xml" /><Relationship Id="customR57D0EB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Horník/hornice v ostatních činnostech v dole (kód: 21-035-H)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Dobývání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Vyuhlování a zajišťování výklenků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mimo dobývací cyklus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Ražení důlních děl razícími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Ražení důlních děl pneumatickými kladivy pomocí trhací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Likvidace dlouhých důlních děl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Ražení a stavění křížů, vidlic, vjezdů, výklenků a ostatních výlomových důlních děl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Ražení vertikálních důlních děl, nárazišť, větrních a dopravních kanálů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prací mimo razicí cyklus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Vybavování a výkliz porubu a ostatních důlních děl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dopravních a strojních zařízení v dole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6:54:17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http://katalog.nsp.cz/karta_p.aspx?id_jp=12&amp;kod_sm1=27).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‒ je zapotřebí splnit všechny požadavky stanovené právními předpisy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– především § 12,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6:54:17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6:54:17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