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74AFC4" Type="http://schemas.openxmlformats.org/officeDocument/2006/relationships/officeDocument" Target="/word/document.xml" /><Relationship Id="coreR2674AFC4" Type="http://schemas.openxmlformats.org/package/2006/relationships/metadata/core-properties" Target="/docProps/core.xml" /><Relationship Id="customR2674AF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sauny pro děti a dospělé (kód: 69-051-H)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sauny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sauny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stavebních a technických požadavků na provoz sauny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topidla a strojního zařízení sauny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provozu sauny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provozu sauny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Aplikování zásad zdravého saunování včetně předlékařské první pomoci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ekonomického provozu veřejné sauny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11:43:21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9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265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68" w:h="230" w:hRule="exact" w:wrap="none" w:vAnchor="page" w:hAnchor="margin" w:x="2721" w:y="4006"/>
        <w:rPr>
          <w:rStyle w:val="C21"/>
          <w:rtl w:val="0"/>
        </w:rPr>
      </w:pPr>
      <w:r>
        <w:rPr>
          <w:rStyle w:val="C21"/>
          <w:rtl w:val="0"/>
        </w:rPr>
        <w:t>prace/obsluha</w:t>
      </w:r>
    </w:p>
    <w:p>
      <w:pPr>
        <w:pStyle w:val="P28"/>
        <w:framePr w:w="82" w:h="230" w:hRule="exact" w:wrap="none" w:vAnchor="page" w:hAnchor="margin" w:x="397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48" w:h="230" w:hRule="exact" w:wrap="none" w:vAnchor="page" w:hAnchor="margin" w:x="4041" w:y="4006"/>
        <w:rPr>
          <w:rStyle w:val="C21"/>
          <w:rtl w:val="0"/>
        </w:rPr>
      </w:pPr>
      <w:r>
        <w:rPr>
          <w:rStyle w:val="C21"/>
          <w:rtl w:val="0"/>
        </w:rPr>
        <w:t>sauny</w:t>
      </w:r>
    </w:p>
    <w:p>
      <w:pPr>
        <w:pStyle w:val="P28"/>
        <w:framePr w:w="82" w:h="230" w:hRule="exact" w:wrap="none" w:vAnchor="page" w:hAnchor="margin" w:x="457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4641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" w:h="230" w:hRule="exact" w:wrap="none" w:vAnchor="page" w:hAnchor="margin" w:x="492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37" w:h="230" w:hRule="exact" w:wrap="none" w:vAnchor="page" w:hAnchor="margin" w:x="4996" w:y="4006"/>
        <w:rPr>
          <w:rStyle w:val="C21"/>
          <w:rtl w:val="0"/>
        </w:rPr>
      </w:pPr>
      <w:r>
        <w:rPr>
          <w:rStyle w:val="C21"/>
          <w:rtl w:val="0"/>
        </w:rPr>
        <w:t>deti</w:t>
      </w:r>
    </w:p>
    <w:p>
      <w:pPr>
        <w:pStyle w:val="P28"/>
        <w:framePr w:w="82" w:h="230" w:hRule="exact" w:wrap="none" w:vAnchor="page" w:hAnchor="margin" w:x="531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385" w:y="40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" w:h="230" w:hRule="exact" w:wrap="none" w:vAnchor="page" w:hAnchor="margin" w:x="5500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2" w:h="230" w:hRule="exact" w:wrap="none" w:vAnchor="page" w:hAnchor="margin" w:x="5625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029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1029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102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1029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102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10299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37" w:h="230" w:hRule="exact" w:wrap="none" w:vAnchor="page" w:hAnchor="margin" w:x="5529" w:y="10299"/>
        <w:rPr>
          <w:rStyle w:val="C21"/>
          <w:rtl w:val="0"/>
        </w:rPr>
      </w:pPr>
      <w:r>
        <w:rPr>
          <w:rStyle w:val="C21"/>
          <w:rtl w:val="0"/>
        </w:rPr>
        <w:t>kvalifikací.</w:t>
      </w:r>
    </w:p>
    <w:p>
      <w:pPr>
        <w:pStyle w:val="P28"/>
        <w:framePr w:w="658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053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05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053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053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05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05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053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053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053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053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05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1053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1053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1076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099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09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099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1099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109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1099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10999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10999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10999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1099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1099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109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1099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1099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9787" w:y="10999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1065" w:y="11230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1603" w:y="1123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2160" w:y="1123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326" w:y="1123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14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114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1146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114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114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1146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1146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339" w:y="11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31" w:y="11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6230" w:y="1146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7488" w:y="1146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8491" w:y="1146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784" w:y="1146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720" w:y="1146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988" w:y="11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820" w:y="1169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190" w:y="116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459" w:y="11695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2184" w:y="116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76" w:y="116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075" w:y="116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579" w:y="116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5236" w:y="1169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5894" w:y="1169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6609" w:y="11695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7156" w:y="116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646" w:y="116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972" w:y="1169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721" w:y="1169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9734" w:y="11695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193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19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193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119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193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119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193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1193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1193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216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121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1216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12166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1216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240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1240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1240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1263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1263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2636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1263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26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263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16" w:h="230" w:hRule="exact" w:wrap="none" w:vAnchor="page" w:hAnchor="margin" w:x="4838" w:y="1263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5596" w:y="1263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6144" w:y="12636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3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28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287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1287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1287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12871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10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10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10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1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10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107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10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10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10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10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1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10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10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1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10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1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1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1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337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33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33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33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33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518" w:y="138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787" w:y="1380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776" w:y="13807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8"/>
        <w:framePr w:w="879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950" w:y="140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108" w:y="14043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303" w:h="230" w:hRule="exact" w:wrap="none" w:vAnchor="page" w:hAnchor="margin" w:x="2145" w:y="140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491" w:y="14043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548" w:h="230" w:hRule="exact" w:wrap="none" w:vAnchor="page" w:hAnchor="margin" w:x="3148" w:y="14043"/>
        <w:rPr>
          <w:rStyle w:val="C21"/>
          <w:rtl w:val="0"/>
        </w:rPr>
      </w:pPr>
      <w:r>
        <w:rPr>
          <w:rStyle w:val="C21"/>
          <w:rtl w:val="0"/>
        </w:rPr>
        <w:t>sauny</w:t>
      </w:r>
    </w:p>
    <w:p>
      <w:pPr>
        <w:pStyle w:val="P28"/>
        <w:framePr w:w="1037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980" w:h="230" w:hRule="exact" w:wrap="none" w:vAnchor="page" w:hAnchor="margin" w:x="1108" w:y="14278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2131" w:y="14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304" w:y="1427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80" w:h="230" w:hRule="exact" w:wrap="none" w:vAnchor="page" w:hAnchor="margin" w:x="3403" w:y="1427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303" w:h="230" w:hRule="exact" w:wrap="none" w:vAnchor="page" w:hAnchor="margin" w:x="4425" w:y="142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771" w:y="14278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548" w:h="230" w:hRule="exact" w:wrap="none" w:vAnchor="page" w:hAnchor="margin" w:x="5428" w:y="14278"/>
        <w:rPr>
          <w:rStyle w:val="C21"/>
          <w:rtl w:val="0"/>
        </w:rPr>
      </w:pPr>
      <w:r>
        <w:rPr>
          <w:rStyle w:val="C21"/>
          <w:rtl w:val="0"/>
        </w:rPr>
        <w:t>sauny</w:t>
      </w:r>
    </w:p>
    <w:p>
      <w:pPr>
        <w:pStyle w:val="P28"/>
        <w:framePr w:w="817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605" w:h="230" w:hRule="exact" w:wrap="none" w:vAnchor="page" w:hAnchor="margin" w:x="888" w:y="14513"/>
        <w:rPr>
          <w:rStyle w:val="C21"/>
          <w:rtl w:val="0"/>
        </w:rPr>
      </w:pPr>
      <w:r>
        <w:rPr>
          <w:rStyle w:val="C21"/>
          <w:rtl w:val="0"/>
        </w:rPr>
        <w:t>topidla</w:t>
      </w:r>
    </w:p>
    <w:p>
      <w:pPr>
        <w:pStyle w:val="P28"/>
        <w:framePr w:w="130" w:h="230" w:hRule="exact" w:wrap="none" w:vAnchor="page" w:hAnchor="margin" w:x="1536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708" w:y="14513"/>
        <w:rPr>
          <w:rStyle w:val="C21"/>
          <w:rtl w:val="0"/>
        </w:rPr>
      </w:pPr>
      <w:r>
        <w:rPr>
          <w:rStyle w:val="C21"/>
          <w:rtl w:val="0"/>
        </w:rPr>
        <w:t>strojního</w:t>
      </w:r>
    </w:p>
    <w:p>
      <w:pPr>
        <w:pStyle w:val="P28"/>
        <w:framePr w:w="725" w:h="230" w:hRule="exact" w:wrap="none" w:vAnchor="page" w:hAnchor="margin" w:x="2534" w:y="1451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48" w:h="230" w:hRule="exact" w:wrap="none" w:vAnchor="page" w:hAnchor="margin" w:x="3302" w:y="14513"/>
        <w:rPr>
          <w:rStyle w:val="C21"/>
          <w:rtl w:val="0"/>
        </w:rPr>
      </w:pPr>
      <w:r>
        <w:rPr>
          <w:rStyle w:val="C21"/>
          <w:rtl w:val="0"/>
        </w:rPr>
        <w:t>sauny</w:t>
      </w:r>
    </w:p>
    <w:p>
      <w:pPr>
        <w:pStyle w:val="P28"/>
        <w:framePr w:w="73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37" w:h="230" w:hRule="exact" w:wrap="none" w:vAnchor="page" w:hAnchor="margin" w:x="331" w:y="1498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572" w:h="230" w:hRule="exact" w:wrap="none" w:vAnchor="page" w:hAnchor="margin" w:x="1411" w:y="1498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49" w:h="230" w:hRule="exact" w:wrap="none" w:vAnchor="page" w:hAnchor="margin" w:x="2025" w:y="14983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869" w:h="230" w:hRule="exact" w:wrap="none" w:vAnchor="page" w:hAnchor="margin" w:x="2716" w:y="149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41" w:h="230" w:hRule="exact" w:wrap="none" w:vAnchor="page" w:hAnchor="margin" w:x="3628" w:y="149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912" w:y="1498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226" w:h="230" w:hRule="exact" w:wrap="none" w:vAnchor="page" w:hAnchor="margin" w:x="4704" w:y="149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4972" w:y="14983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725" w:h="230" w:hRule="exact" w:wrap="none" w:vAnchor="page" w:hAnchor="margin" w:x="6019" w:y="14983"/>
        <w:rPr>
          <w:rStyle w:val="C21"/>
          <w:rtl w:val="0"/>
        </w:rPr>
      </w:pPr>
      <w:r>
        <w:rPr>
          <w:rStyle w:val="C21"/>
          <w:rtl w:val="0"/>
        </w:rPr>
        <w:t>hodnotit</w:t>
      </w:r>
    </w:p>
    <w:p>
      <w:pPr>
        <w:pStyle w:val="P28"/>
        <w:framePr w:w="505" w:h="230" w:hRule="exact" w:wrap="none" w:vAnchor="page" w:hAnchor="margin" w:x="6787" w:y="1498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62" w:h="230" w:hRule="exact" w:wrap="none" w:vAnchor="page" w:hAnchor="margin" w:x="7334" w:y="14983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7939" w:y="14983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8"/>
        <w:framePr w:w="375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615" w:h="230" w:hRule="exact" w:wrap="none" w:vAnchor="page" w:hAnchor="margin" w:x="388" w:y="15219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961" w:h="230" w:hRule="exact" w:wrap="none" w:vAnchor="page" w:hAnchor="margin" w:x="1046" w:y="15219"/>
        <w:rPr>
          <w:rStyle w:val="C21"/>
          <w:rtl w:val="0"/>
        </w:rPr>
      </w:pPr>
      <w:r>
        <w:rPr>
          <w:rStyle w:val="C21"/>
          <w:rtl w:val="0"/>
        </w:rPr>
        <w:t>provedené</w:t>
      </w:r>
    </w:p>
    <w:p>
      <w:pPr>
        <w:pStyle w:val="P28"/>
        <w:framePr w:w="514" w:h="230" w:hRule="exact" w:wrap="none" w:vAnchor="page" w:hAnchor="margin" w:x="2049" w:y="1521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606" w:y="15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779" w:y="1521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70" w:h="230" w:hRule="exact" w:wrap="none" w:vAnchor="page" w:hAnchor="margin" w:x="3470" w:y="15219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1057" w:h="230" w:hRule="exact" w:wrap="none" w:vAnchor="page" w:hAnchor="margin" w:x="4483" w:y="1521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994" w:h="230" w:hRule="exact" w:wrap="none" w:vAnchor="page" w:hAnchor="margin" w:x="5582" w:y="1521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83" w:h="230" w:hRule="exact" w:wrap="none" w:vAnchor="page" w:hAnchor="margin" w:x="6619" w:y="15219"/>
        <w:rPr>
          <w:rStyle w:val="C21"/>
          <w:rtl w:val="0"/>
        </w:rPr>
      </w:pPr>
      <w:r>
        <w:rPr>
          <w:rStyle w:val="C21"/>
          <w:rtl w:val="0"/>
        </w:rPr>
        <w:t>postupů.</w:t>
      </w:r>
    </w:p>
    <w:p>
      <w:pPr>
        <w:pStyle w:val="P28"/>
        <w:framePr w:w="375" w:h="230" w:hRule="exact" w:wrap="none" w:vAnchor="page" w:hAnchor="margin" w:x="28" w:y="1545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826" w:h="230" w:hRule="exact" w:wrap="none" w:vAnchor="page" w:hAnchor="margin" w:x="388" w:y="15454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980" w:h="230" w:hRule="exact" w:wrap="none" w:vAnchor="page" w:hAnchor="margin" w:x="1257" w:y="1545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673" w:h="230" w:hRule="exact" w:wrap="none" w:vAnchor="page" w:hAnchor="margin" w:x="2280" w:y="15454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658" w:h="230" w:hRule="exact" w:wrap="none" w:vAnchor="page" w:hAnchor="margin" w:x="2995" w:y="15454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716" w:h="230" w:hRule="exact" w:wrap="none" w:vAnchor="page" w:hAnchor="margin" w:x="3696" w:y="15454"/>
        <w:rPr>
          <w:rStyle w:val="C21"/>
          <w:rtl w:val="0"/>
        </w:rPr>
      </w:pPr>
      <w:r>
        <w:rPr>
          <w:rStyle w:val="C21"/>
          <w:rtl w:val="0"/>
        </w:rPr>
        <w:t>výrobců</w:t>
      </w:r>
    </w:p>
    <w:p>
      <w:pPr>
        <w:pStyle w:val="P28"/>
        <w:framePr w:w="725" w:h="230" w:hRule="exact" w:wrap="none" w:vAnchor="page" w:hAnchor="margin" w:x="4454" w:y="1545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5222" w:y="154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5395" w:y="1545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6441" w:y="1545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15" w:h="230" w:hRule="exact" w:wrap="none" w:vAnchor="page" w:hAnchor="margin" w:x="7267" w:y="15454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156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11:43:21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15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11:43:21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Město Rokycany - Moravec Jaroslav, Ing., ředitel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Služba města Benešov nad Ploučnicí - Košnar Pavel, Ing., ředitel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Viva, s. r. o. - Kouba Jiří, Ing., jednatel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Aquapark Beroun, a. s. - Marx Antonín, Mgr., ředitel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11:43:21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EDB97D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