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526C6" Type="http://schemas.openxmlformats.org/officeDocument/2006/relationships/officeDocument" Target="/word/document.xml" /><Relationship Id="coreR5A7526C6" Type="http://schemas.openxmlformats.org/package/2006/relationships/metadata/core-properties" Target="/docProps/core.xml" /><Relationship Id="customR5A7526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14.01.2020 do: 27.10.2022</w:t>
      </w:r>
    </w:p>
    <w:p>
      <w:pPr>
        <w:pStyle w:val="P22"/>
        <w:framePr w:w="7654" w:h="331" w:hRule="exact" w:wrap="none" w:vAnchor="page" w:hAnchor="margin" w:x="28" w:y="15940"/>
        <w:rPr>
          <w:rStyle w:val="C16"/>
          <w:rtl w:val="0"/>
        </w:rPr>
      </w:pPr>
      <w:r>
        <w:rPr>
          <w:rStyle w:val="C16"/>
          <w:rtl w:val="0"/>
        </w:rPr>
        <w:t>Samostatný elektrotechnik pro biomedicínské přístroje, 31.7.2026 15:56:57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31.7.2026 15:56:57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31.7.2026 15:56:57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pro biomedicínské přístroje, 31.7.2026 15:56:57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31.7.2026 15:56:57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31.7.2026 15:56:57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pro biomedicínské přístroje, 31.7.2026 15:56:57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A5B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C614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02FF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