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002B6" Type="http://schemas.openxmlformats.org/officeDocument/2006/relationships/officeDocument" Target="/word/document.xml" /><Relationship Id="coreR1C5002B6" Type="http://schemas.openxmlformats.org/package/2006/relationships/metadata/core-properties" Target="/docProps/core.xml" /><Relationship Id="customR1C5002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včetně řezů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ručním nářadím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obsluha traktorů a jiné mechanizace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Množení, ošetřování podnoží pro ovocné dřeviny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05.11.2012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jednotlivé kompetence mohly být ověřeny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profesní kvalifikace je poměrně rozsáhlá – to mimo jiné vypovídá o její profesní náročnosti.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zahradních společenstev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školkařů České republiky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Školkař, 20.10.2026 11:55:20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