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456963" Type="http://schemas.openxmlformats.org/officeDocument/2006/relationships/officeDocument" Target="/word/document.xml" /><Relationship Id="coreR28456963" Type="http://schemas.openxmlformats.org/package/2006/relationships/metadata/core-properties" Target="/docProps/core.xml" /><Relationship Id="customR284569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přípravy zákysů, 21.9.2026 14:43:50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čistých mlékařských kultur(ČMK) a manipulace s nimi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podle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podle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21.9.2026 14:43:50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21.9.2026 14:43:50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při přípravě zákysů.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mlékárenském provozu", uchazeč předvede na sobě, jak se ošetří v případě zásahu čisticími prostředky.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přípravy zákysů, 21.9.2026 14:43:50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 odpovídajícím technologickým vybavením (zákysové tanky, čerpadla) a přísun potřebných energií odpovídající bezpečnostním a hygienickým předpisům</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•Tepelně ošetřené kravské mléko, koncentráty bakteriálních kultur (lyofilizované, DVS, jiné)</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pH-metr, sklo a chemikálie pro stanovení titrační kyselosti)</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•Mikroskopické fotografie vybraných mikroorganismů (bakterie mléčného kvašení, koliformní a sporotvorné zárodky; rozpoznání koků a tyčinek) </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přípravy zákysů, 21.9.2026 14:43:50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přípravy zákysů, 21.9.2026 14:43:50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přípravy zákysů, 21.9.2026 14:43:50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0194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D359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B2FE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