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B95204" Type="http://schemas.openxmlformats.org/officeDocument/2006/relationships/officeDocument" Target="/word/document.xml" /><Relationship Id="coreR27B95204" Type="http://schemas.openxmlformats.org/package/2006/relationships/metadata/core-properties" Target="/docProps/core.xml" /><Relationship Id="customR27B952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 xml:space="preserve">Zajištění a podpora důstojného a pietního chování  smutečních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31.7.2026 8:10:54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činnosti, které jsou obsahem této profesní kvalifikace, jejichž splnění realizuje. Konkrétní úkoly a jejich rozsah určí zkoušející. Během modelových situací se především sleduje, jakým způsobem uchazeč pracuje se svým tělem, hlasem a potřebami pozůstalých (potřeba času, empatie, přístupu k realitě, respektování individuality apod.). Doporučujeme praktickou část zkoušky zaznamenat audiovizuálně a po dobu nezbytně nutnou ji archivovat. Kamera, jejíž záběry z řečnického vystoupení se dají posléze zpomalovat a zastavovat, se dají i velmi dobře uchazečem reflektovat.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31.7.2026 8:10:54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31.7.2026 8:10:54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