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3FFB0" Type="http://schemas.openxmlformats.org/officeDocument/2006/relationships/officeDocument" Target="/word/document.xml" /><Relationship Id="coreR7963FFB0" Type="http://schemas.openxmlformats.org/package/2006/relationships/metadata/core-properties" Target="/docProps/core.xml" /><Relationship Id="customR7963FF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Zajištění a podpora důstojného a pietního chování  smutečních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realizuje. Konkrétní úkoly a jejich rozsah určí zkoušející. Během modelových situací se především sleduje, jakým způsobem uchazeč pracuje se svým tělem, hlasem a potřebami pozůstalých (potřeba času, empatie, přístupu k realitě, respektování individuality apod.). Doporučujeme praktickou část zkoušky zaznamenat audiovizuálně a po dobu nezbytně nutnou ji archivovat. Kamera, jejíž záběry z řečnického vystoupení se dají posléze zpomalovat a zastavovat, se dají i velmi dobře uchazečem reflektovat.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