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B723FC" Type="http://schemas.openxmlformats.org/officeDocument/2006/relationships/officeDocument" Target="/word/document.xml" /><Relationship Id="coreR73B723FC" Type="http://schemas.openxmlformats.org/package/2006/relationships/metadata/core-properties" Target="/docProps/core.xml" /><Relationship Id="customR73B723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vyšší hygienické zaopatření těl zemřelých (kód: 69-048-M)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vyšší hygienické zaopatření zemřelých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Zacházení s lidskými pozůstatky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Prohlídka lidských pozůstatků a jejich označení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lidských pozůstatků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estetických úprav lidských pozůstatků pro jejich veřejné vystavení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předepsané evidence lidských pozůstatků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 pro vyšší hygienické zaopatření těl zemřelých, 31.7.2026 4:34:33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Zacházení s lidskými pozůstatky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Definovat pojem pohřbení a zákonné podmínky nutné k manipulaci, úpravě, přechodnému uložení a vystavování lidských pozůstatků v otevřené rakvi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Vyjmenovat zákonné požadavky pro převzetí lidských pozůstatků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1055" w:hRule="exact" w:wrap="none" w:vAnchor="page" w:hAnchor="margin" w:x="45" w:y="4735"/>
        <w:rPr>
          <w:rStyle w:val="C3"/>
          <w:rtl w:val="0"/>
        </w:rPr>
      </w:pPr>
    </w:p>
    <w:p>
      <w:pPr>
        <w:pStyle w:val="P13"/>
        <w:framePr w:w="6658" w:h="928" w:hRule="exact" w:wrap="none" w:vAnchor="page" w:hAnchor="margin" w:x="71" w:y="4791"/>
        <w:rPr>
          <w:rStyle w:val="C11"/>
          <w:rtl w:val="0"/>
        </w:rPr>
      </w:pPr>
      <w:r>
        <w:rPr>
          <w:rStyle w:val="C11"/>
          <w:rtl w:val="0"/>
        </w:rPr>
        <w:t>c) Vyjmenovat pomůcky, nástroje a dokumentaci, potřebnou k převzetí lidských pozůstatků a lidských ostatků k úpravě v souladu s pokyny danými prohlížejícím lékařem nebo pokyny pověřeného orgánu hygienické služby, příp. Státního úřadu pro jadernou bezpečnost</w:t>
      </w:r>
    </w:p>
    <w:p>
      <w:pPr>
        <w:pStyle w:val="P28"/>
        <w:framePr w:w="3921" w:h="1055" w:hRule="exact" w:wrap="none" w:vAnchor="page" w:hAnchor="margin" w:x="6800" w:y="4735"/>
        <w:rPr>
          <w:rStyle w:val="C3"/>
          <w:rtl w:val="0"/>
        </w:rPr>
      </w:pPr>
    </w:p>
    <w:p>
      <w:pPr>
        <w:pStyle w:val="P29"/>
        <w:framePr w:w="3839" w:h="928" w:hRule="exact" w:wrap="none" w:vAnchor="page" w:hAnchor="margin" w:x="6856" w:y="4791"/>
        <w:rPr>
          <w:rStyle w:val="C21"/>
          <w:rtl w:val="0"/>
        </w:rPr>
      </w:pPr>
      <w:r>
        <w:rPr>
          <w:rStyle w:val="C21"/>
          <w:rtl w:val="0"/>
        </w:rPr>
        <w:t>Písemné a ústní ověření</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Vyjmenovat podmínky pro provoz prostorů určených pro úpravu a přechodné ukládání lidských pozůstatků</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Písemné a 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Popsat nutná vybavení prostor pro úpravu a přechodné ukládání lidských pozůstatků</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f) Vysvětlit na příkladech kritické hygienické body a místa kritická pro zranění nebo zavlečení nákazy do organismu a doporučit preventivní očkování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Písemné a ústní ověření</w:t>
      </w:r>
    </w:p>
    <w:p>
      <w:pPr>
        <w:pStyle w:val="P12"/>
        <w:framePr w:w="6710" w:h="1504" w:hRule="exact" w:wrap="none" w:vAnchor="page" w:hAnchor="margin" w:x="45" w:y="7610"/>
        <w:rPr>
          <w:rStyle w:val="C3"/>
          <w:rtl w:val="0"/>
        </w:rPr>
      </w:pPr>
    </w:p>
    <w:p>
      <w:pPr>
        <w:pStyle w:val="P13"/>
        <w:framePr w:w="6658" w:h="1377" w:hRule="exact" w:wrap="none" w:vAnchor="page" w:hAnchor="margin" w:x="71" w:y="7666"/>
        <w:rPr>
          <w:rStyle w:val="C11"/>
          <w:rtl w:val="0"/>
        </w:rPr>
      </w:pPr>
      <w:r>
        <w:rPr>
          <w:rStyle w:val="C11"/>
          <w:rtl w:val="0"/>
        </w:rPr>
        <w:t>g)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a sprchy</w:t>
      </w:r>
    </w:p>
    <w:p>
      <w:pPr>
        <w:pStyle w:val="P28"/>
        <w:framePr w:w="3921" w:h="1504" w:hRule="exact" w:wrap="none" w:vAnchor="page" w:hAnchor="margin" w:x="6800" w:y="7610"/>
        <w:rPr>
          <w:rStyle w:val="C3"/>
          <w:rtl w:val="0"/>
        </w:rPr>
      </w:pPr>
    </w:p>
    <w:p>
      <w:pPr>
        <w:pStyle w:val="P29"/>
        <w:framePr w:w="3839" w:h="1377" w:hRule="exact" w:wrap="none" w:vAnchor="page" w:hAnchor="margin" w:x="6856" w:y="7666"/>
        <w:rPr>
          <w:rStyle w:val="C21"/>
          <w:rtl w:val="0"/>
        </w:rPr>
      </w:pPr>
      <w:r>
        <w:rPr>
          <w:rStyle w:val="C21"/>
          <w:rtl w:val="0"/>
        </w:rPr>
        <w:t>Písemné a ústní ověření</w:t>
      </w:r>
    </w:p>
    <w:p>
      <w:pPr>
        <w:pStyle w:val="P16"/>
        <w:framePr w:w="6710" w:h="831" w:hRule="exact" w:wrap="none" w:vAnchor="page" w:hAnchor="margin" w:x="45" w:y="9114"/>
        <w:rPr>
          <w:rStyle w:val="C3"/>
          <w:rtl w:val="0"/>
        </w:rPr>
      </w:pPr>
    </w:p>
    <w:p>
      <w:pPr>
        <w:pStyle w:val="P17"/>
        <w:framePr w:w="6658" w:h="704" w:hRule="exact" w:wrap="none" w:vAnchor="page" w:hAnchor="margin" w:x="71" w:y="9170"/>
        <w:rPr>
          <w:rStyle w:val="C13"/>
          <w:rtl w:val="0"/>
        </w:rPr>
      </w:pPr>
      <w:r>
        <w:rPr>
          <w:rStyle w:val="C13"/>
          <w:rtl w:val="0"/>
        </w:rPr>
        <w:t>h) Zdůvodnit, proč lidské pozůstatky a ostatky, včetně nesnímatelných náhrad a ozdob, nejsou odpadem nebo věcí v občanskoprávním smyslu, kterou lze vlastnit, dědit nebo s ní obchodovat</w:t>
      </w:r>
    </w:p>
    <w:p>
      <w:pPr>
        <w:pStyle w:val="P30"/>
        <w:framePr w:w="3921" w:h="831" w:hRule="exact" w:wrap="none" w:vAnchor="page" w:hAnchor="margin" w:x="6800" w:y="9114"/>
        <w:rPr>
          <w:rStyle w:val="C3"/>
          <w:rtl w:val="0"/>
        </w:rPr>
      </w:pPr>
    </w:p>
    <w:p>
      <w:pPr>
        <w:pStyle w:val="P31"/>
        <w:framePr w:w="3839" w:h="704" w:hRule="exact" w:wrap="none" w:vAnchor="page" w:hAnchor="margin" w:x="6856" w:y="9170"/>
        <w:rPr>
          <w:rStyle w:val="C22"/>
          <w:rtl w:val="0"/>
        </w:rPr>
      </w:pPr>
      <w:r>
        <w:rPr>
          <w:rStyle w:val="C22"/>
          <w:rtl w:val="0"/>
        </w:rPr>
        <w:t>Ústní ověření</w:t>
      </w:r>
    </w:p>
    <w:p>
      <w:pPr>
        <w:pStyle w:val="P12"/>
        <w:framePr w:w="6710" w:h="607" w:hRule="exact" w:wrap="none" w:vAnchor="page" w:hAnchor="margin" w:x="45" w:y="9945"/>
        <w:rPr>
          <w:rStyle w:val="C3"/>
          <w:rtl w:val="0"/>
        </w:rPr>
      </w:pPr>
    </w:p>
    <w:p>
      <w:pPr>
        <w:pStyle w:val="P13"/>
        <w:framePr w:w="6658" w:h="480" w:hRule="exact" w:wrap="none" w:vAnchor="page" w:hAnchor="margin" w:x="71" w:y="10001"/>
        <w:rPr>
          <w:rStyle w:val="C11"/>
          <w:rtl w:val="0"/>
        </w:rPr>
      </w:pPr>
      <w:r>
        <w:rPr>
          <w:rStyle w:val="C11"/>
          <w:rtl w:val="0"/>
        </w:rPr>
        <w:t>i) Popsat základní osnovu řádu pro pohřební službu a vysvětlit základní pojmy zákona o pohřebnictví</w:t>
      </w:r>
    </w:p>
    <w:p>
      <w:pPr>
        <w:pStyle w:val="P28"/>
        <w:framePr w:w="3921" w:h="607" w:hRule="exact" w:wrap="none" w:vAnchor="page" w:hAnchor="margin" w:x="6800" w:y="9945"/>
        <w:rPr>
          <w:rStyle w:val="C3"/>
          <w:rtl w:val="0"/>
        </w:rPr>
      </w:pPr>
    </w:p>
    <w:p>
      <w:pPr>
        <w:pStyle w:val="P29"/>
        <w:framePr w:w="3839" w:h="480" w:hRule="exact" w:wrap="none" w:vAnchor="page" w:hAnchor="margin" w:x="6856" w:y="10001"/>
        <w:rPr>
          <w:rStyle w:val="C21"/>
          <w:rtl w:val="0"/>
        </w:rPr>
      </w:pPr>
      <w:r>
        <w:rPr>
          <w:rStyle w:val="C21"/>
          <w:rtl w:val="0"/>
        </w:rPr>
        <w:t>Písemné a ústní ověření</w:t>
      </w:r>
    </w:p>
    <w:p>
      <w:pPr>
        <w:pStyle w:val="P32"/>
        <w:framePr w:w="10710" w:h="248" w:hRule="exact" w:wrap="none" w:vAnchor="page" w:hAnchor="margin" w:x="28" w:y="10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31.7.2026 4:34:33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Prohlídka lidských pozůstatků a jejich označení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Zajistit intimitu zemřelého, zavřít mu oči a ústa, svléknout z těla osobní prádlo, odstranit kanyly a katétry, otvory po těchto vstupech upravit (uzavřít), zkrátit drény, a odstranit ostatní zdravotnické pomůcky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jednotlivé kolonky a údaje v Listu o prohlídce zemřelého; určit všechny osoby, které s listem pracují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Použít fix na kůži k popsání identifikace zemřelého na jeho těle, vyplnit identifikační kartičku a uvázat na tělo zemřelého</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Použít nerozpojitelný plastový náramek s identifikací zemřelého a upevnit jej na zápěstí ruky, event. na kotník nohy a po uplynutí zákonné lhůty uložit do chladicího boxu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Zapsat osobní věci do knihy cenností a předat je příbuzným zemřelého proti podpisu, včetně vyjádření soustrasti a empatie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Při nesouhlasu příbuzných s pitvou vyplnit formulář a zajistit jeho schválení</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Při projevení přání příbuzných zemřelého zajistit rozloučení v pietní místnosti</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Úprava lidských pozůstatků</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Popsat způsoby úpravy lidských pozůstatků po pitvě před jejich uložením do konečné rakve a doporučit výběr oděvu pro zemřelého k uložení do rakve</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Vyjmenovat druhy pitev, popsat základní pitevní techniku a způsoby úprav lidských pozůstatků kontaminovaných nebezpečnými činiteli</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Písemné a 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Vyjmenovat možnosti ošetření lidských pozůstatků za pomocí látek zpomalujících posmrtné změny, vysvětlit a rozlišit pojmy konzervace a balzamace lidských pozůstatků</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Omýt, uzavřít tělní otvory, zaretušovat viditelné zásahy po pitvě, oholit lidské pozůstatky určené pro vystavení v otevřené rakvi</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Předvést postup svlékání a oblékání upravených lidských pozůstatků do rubáše nebo do šatů podle zadání</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Předvést manipulaci s lidskými pozůstatky při ukládání na nosítka, do transportního vaku a do rakve</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Určit podmínky, za kterých je možné, vyžádá-li si vypravitel pohřbu, uložení zesnulého do konečné rakve již v místě úmrtí</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Písemné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Upravit kompletně lidské pozůstatky a uložit do konečné rakve za účasti dalších osob</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w:t>
      </w:r>
    </w:p>
    <w:p>
      <w:pPr>
        <w:pStyle w:val="P32"/>
        <w:framePr w:w="10710" w:h="248" w:hRule="exact" w:wrap="none" w:vAnchor="page" w:hAnchor="margin" w:x="28" w:y="13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31.7.2026 4:34:33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estetických úprav lidských pozůstatků pro jejich veřejné vystavení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oblečení a vnitřek rakve před ušpiněním během kosmetických úprav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hygienu dutiny ústní, nasadit zubní náhradu nebo vytvořit chybějící chrup, provést ligaturu dutiny ústní pomocí chirurgických jehel a nití, vyčistit pleť, oční jamky, koutky úst, osušit tvář, ostříhat chloupky v nose a v uších</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Podle portrétní fotografie esteticky upravit obličej, vlasy a ruce zemřelého, nanést make-up a zakrýt posmrtné změny tak, aby byla obnovena přirozená barva a vzhled viditelných částí zemřelého</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manikúru nehtů, upravit tvar a délku nehtu, popřípadě ošetřit kůžičku kolem nehtu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Vedení předepsané evidence lidských pozůstatků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Vyjmenovat údaje vedené v evidenci o lidských pozůstatcích přijatých k přechodnému uložení</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Uvést základní právní normy pro shromažďování a zpracováváni osobních údajů pro evidenci lidských pozůstatků</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a 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Vyjmenovat povinné údaje uvedené v evidenci k jednotlivým osobním cennostem po zemřelém, které si pozůstalí nepřevezmou</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Zaevidovat údaje dle zadání do knihy příjmů, cenností a výdeje zlatých kovů</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e) Uvést skartační lhůty pro list o prohlídce zemřelého a způsoby archivace dalších písemností souvisejících s vyšším hygienickým zaopatřením těl zemřelých</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31.7.2026 4:34:33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https://www.nsp.cz/jednotka-prace/pracovnik-pro-vyssi-hygie#zdravotni-zpusobilost).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zaručit dodržování zásad ochrany postmortální osobnosti zemřelého a osobně zajistit, aby s mrtvým lidským tělem a ostatky bylo nakládáno důstojně. Pořizování audiovizuálních záznamů z průběhu zkoušky je zakázáno.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jednom úkolu je možné ověřit kritéria hodnocení z několika odborných kompetencí. Konkrétní úkoly a jejich rozsah určí autorizovaná osoba.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 provozovny pohřební služby. V reálném provozu jsou na konkrétních příkladech činností ověřovány odborné kompetence v souladu s hodnoticím standardem za přítomnosti odpovědného provozního pracovníka. Zkouška se může skládat ze dvou časově i prostorově oddělených částí, praktické a teoretické.</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oblečen do vhodného pracovního oděvu a obuvi a mít ochranné pomůcky a vhodné nástroje, jinak se zkouška nesmí zahájit. Zkoušku nesmí vykonávat uchazeč, který má otevřené poranění, zejména na rukou. Pokud dojde k poranění během činností, musí se nechat neprodleně ošetřit a zkouška se přeruší. Existuje-li při manipulaci s lidskými pozůstatky zdravotní riziko, je nutno pro ochranu dýchacích orgánů použít obličejovou roušku.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ověření způsobem "písemné a ústní ověření" uchazeč písemně vypracuje a ústně doplní či dovysvětlí dané úkoly.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Úprava lidských pozůstatků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a </w:t>
      </w:r>
      <w:r>
        <w:rPr>
          <w:rFonts w:ascii="Arial" w:cs="Arial" w:hAnsi="Arial" w:eastAsia="Arial"/>
          <w:b w:val="1"/>
          <w:i w:val="0"/>
          <w:caps w:val="0"/>
          <w:strike w:val="0"/>
          <w:noProof w:val="0"/>
          <w:vanish w:val="0"/>
          <w:color w:val="auto"/>
          <w:sz w:val="20"/>
          <w:u w:val="none"/>
          <w:shd w:val="clear" w:color="auto" w:fill="auto"/>
          <w:vertAlign w:val="baseline"/>
          <w:lang/>
        </w:rPr>
        <w:t>Vedení předepsané evidence lidských pozůstatků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autorizovaná osoba připraví jedno zadání, na základě kterého uchazeč splní daná kritéria.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estetických úprav lidských pozůstatků pro jejich veřejné vystavení</w:t>
      </w:r>
      <w:r>
        <w:rPr>
          <w:rFonts w:ascii="Arial" w:cs="Arial" w:hAnsi="Arial" w:eastAsia="Arial"/>
          <w:b w:val="0"/>
          <w:i w:val="0"/>
          <w:caps w:val="0"/>
          <w:strike w:val="0"/>
          <w:noProof w:val="0"/>
          <w:vanish w:val="0"/>
          <w:color w:val="auto"/>
          <w:sz w:val="20"/>
          <w:u w:val="none"/>
          <w:shd w:val="clear" w:color="auto" w:fill="auto"/>
          <w:vertAlign w:val="baseline"/>
          <w:lang/>
        </w:rPr>
        <w:t>, kritérium c) autorizovaná osoba zajistí portrétní fotografie zemřelého vytvořené za jeho života, podle které uchazeč splní dané kritérium.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se hodnotí nejen kvalita provedené práce, ale také dodržování BOZP, PO, zásad ochrany životního prostředí a to, zda uchazeč po celou dobu práce dodržoval zásady piety a slušnosti při práci (potlačil profesionální otrlost). Při práci se nesmí jíst, pít ani kouřit.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vyšší hygienické zaopatření těl zemřelých, 31.7.2026 4:34:33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6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vyššího hygienického zaopatřování těl zemřelých.</w:t>
      </w:r>
    </w:p>
    <w:p>
      <w:pPr>
        <w:keepNext w:val="0"/>
        <w:keepLines w:val="1"/>
        <w:framePr w:w="10766" w:h="661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69-048-M Pracovník pro vyšší hygienické zaopatření těl zemřelých nebo 69-012-H Pracovník pro úpravu a přepravu lidských pozůstatků + střední vzdělání s výučním listem a alespoň 5 let odborné praxe v oblasti vyššího hygienického zaopatřování těl zemřelých.</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 vyšší hygienické zaopatření těl zemřelých, 31.7.2026 4:34:33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 pomocník pro manipulaci s tělem zemřelého (může být i jako figurant pro roli "příbuzný pozůstalého")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úpravu zemřelých</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márnice s chladicím zařízením</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po pitvě se souhlasem vypravitele pohřbu (v souladu se zákonem o pohřebnictví a občanským zákoníkem § 82 odst. 2)</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 oblečení</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 na kůži</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vak, konečná rakev</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nerozpojitelný plastový náramek</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pomůcky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identifikační lístek</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a formuláře (identifikační kartička, formulář při nesouhlasu s pitvou atd.)</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emitní miska, vata/gáza, obvaz, čtverečky buničiny, dřevěné lopatky, tác k uložení věcí zemřelého, jednorázový empír, jednorázové gumové rukavice, jednorázovou zástěru, jednorázovou roušku či ústenku, jednorázový kryt hlavy, jednorázové papírové utěrky, tampóny, vlhké ubrousky, vatu, sáčky na biologický odpad, netkané textilie Pervin/Perlan, houbičky na make-up, make-up pro zemřelé, suchý šampon, lak na nehty, pudry, rtěnky, řasenky, hřebeny, nůžky, chirurgické jehly, nitě a umělé vlasy, umělý chrup, materiál a pomůcky pro doplnění umělého chrupu, holicí přípravky a pomůcky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kanyly, katetry, drény a další zdravotnické pomůcky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80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pro vykonání zkoušky</w:t>
      </w:r>
    </w:p>
    <w:p>
      <w:pPr>
        <w:keepNext w:val="0"/>
        <w:keepLines w:val="0"/>
        <w:framePr w:w="10766" w:h="1041"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041"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 pro vyšší hygienické zaopatření těl zemřelých, 31.7.2026 4:34:33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pStyle w:val="P21"/>
        <w:framePr w:w="7654" w:h="331" w:hRule="exact" w:wrap="none" w:vAnchor="page" w:hAnchor="margin" w:x="28" w:y="15940"/>
        <w:rPr>
          <w:rStyle w:val="C16"/>
          <w:rtl w:val="0"/>
        </w:rPr>
      </w:pPr>
      <w:r>
        <w:rPr>
          <w:rStyle w:val="C16"/>
          <w:rtl w:val="0"/>
        </w:rPr>
        <w:t>Pracovník pro vyšší hygienické zaopatření těl zemřelých, 31.7.2026 4:34:33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16AA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61CB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