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1FD4EB" Type="http://schemas.openxmlformats.org/officeDocument/2006/relationships/officeDocument" Target="/word/document.xml" /><Relationship Id="coreRF1FD4EB" Type="http://schemas.openxmlformats.org/package/2006/relationships/metadata/core-properties" Target="/docProps/core.xml" /><Relationship Id="customRF1FD4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vyšší hygienické zaopatření těl zemřelých (kód: 69-048-M)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vyšší hygienické zaopatření zemřelých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zákonného zacházení s lidskými pozůstatky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Ohledání lidských pozůstatků a jejich označení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Omývání, oblékání a další úpravy lidských pozůstatků do rakví při přípravě smutečních obřadů nebo ve spolupráci s pozůstalými</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estetických úprav lidských pozůstatků pro jejich veřejné vystavení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předepsané evidence lidských pozůstatků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Aplikování základních zásad pohřbívání v poradenství pro pozůstalé</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29.10.2013 do: 06.12.2020</w:t>
      </w:r>
    </w:p>
    <w:p>
      <w:pPr>
        <w:pStyle w:val="P21"/>
        <w:framePr w:w="7654" w:h="331" w:hRule="exact" w:wrap="none" w:vAnchor="page" w:hAnchor="margin" w:x="28" w:y="15940"/>
        <w:rPr>
          <w:rStyle w:val="C16"/>
          <w:rtl w:val="0"/>
        </w:rPr>
      </w:pPr>
      <w:r>
        <w:rPr>
          <w:rStyle w:val="C16"/>
          <w:rtl w:val="0"/>
        </w:rPr>
        <w:t>Pracovník pro vyšší hygienické zaopatření těl zemřelých, 7.7.2026 16:17:11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zákonného zacházení s lidskými pozůstatky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Definovat pojem pohřbení a zákonné podmínky nutné k manipulaci, úpravě, přechodnému uložení a vystavování lidských pozůstatků v otevřené rakvi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Doložit úmrtí před převzetím lidských pozůstatků</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nebo písemné ověření</w:t>
      </w:r>
    </w:p>
    <w:p>
      <w:pPr>
        <w:pStyle w:val="P12"/>
        <w:framePr w:w="6710" w:h="1055" w:hRule="exact" w:wrap="none" w:vAnchor="page" w:hAnchor="margin" w:x="45" w:y="4735"/>
        <w:rPr>
          <w:rStyle w:val="C3"/>
          <w:rtl w:val="0"/>
        </w:rPr>
      </w:pPr>
    </w:p>
    <w:p>
      <w:pPr>
        <w:pStyle w:val="P13"/>
        <w:framePr w:w="6658" w:h="928" w:hRule="exact" w:wrap="none" w:vAnchor="page" w:hAnchor="margin" w:x="71" w:y="4791"/>
        <w:rPr>
          <w:rStyle w:val="C11"/>
          <w:rtl w:val="0"/>
        </w:rPr>
      </w:pPr>
      <w:r>
        <w:rPr>
          <w:rStyle w:val="C11"/>
          <w:rtl w:val="0"/>
        </w:rPr>
        <w:t>c) Vyjmenovat pomůcky, nástroje a dokumentaci, potřebnou k převzetí lidských pozůstatků a lidských ostatků k úpravě a řídit se pokyny daných prohlížejícím lékařem nebo pokyny pověřeného orgánu hygienické služby, příp. Státního úřadu pro jadernou bezpečnost</w:t>
      </w:r>
    </w:p>
    <w:p>
      <w:pPr>
        <w:pStyle w:val="P28"/>
        <w:framePr w:w="3921" w:h="1055" w:hRule="exact" w:wrap="none" w:vAnchor="page" w:hAnchor="margin" w:x="6800" w:y="4735"/>
        <w:rPr>
          <w:rStyle w:val="C3"/>
          <w:rtl w:val="0"/>
        </w:rPr>
      </w:pPr>
    </w:p>
    <w:p>
      <w:pPr>
        <w:pStyle w:val="P29"/>
        <w:framePr w:w="3839" w:h="928"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790"/>
        <w:rPr>
          <w:rStyle w:val="C3"/>
          <w:rtl w:val="0"/>
        </w:rPr>
      </w:pPr>
    </w:p>
    <w:p>
      <w:pPr>
        <w:pStyle w:val="P17"/>
        <w:framePr w:w="6658" w:h="480" w:hRule="exact" w:wrap="none" w:vAnchor="page" w:hAnchor="margin" w:x="71" w:y="5846"/>
        <w:rPr>
          <w:rStyle w:val="C13"/>
          <w:rtl w:val="0"/>
        </w:rPr>
      </w:pPr>
      <w:r>
        <w:rPr>
          <w:rStyle w:val="C13"/>
          <w:rtl w:val="0"/>
        </w:rPr>
        <w:t>d) Vyjmenovat zákonem stanovené podmínky pro provoz prostorů určených pro úpravu a přechodné ukládání lidských pozůstatků</w:t>
      </w:r>
    </w:p>
    <w:p>
      <w:pPr>
        <w:pStyle w:val="P30"/>
        <w:framePr w:w="3921" w:h="607" w:hRule="exact" w:wrap="none" w:vAnchor="page" w:hAnchor="margin" w:x="6800" w:y="5790"/>
        <w:rPr>
          <w:rStyle w:val="C3"/>
          <w:rtl w:val="0"/>
        </w:rPr>
      </w:pPr>
    </w:p>
    <w:p>
      <w:pPr>
        <w:pStyle w:val="P31"/>
        <w:framePr w:w="3839" w:h="480" w:hRule="exact" w:wrap="none" w:vAnchor="page" w:hAnchor="margin" w:x="6856" w:y="5846"/>
        <w:rPr>
          <w:rStyle w:val="C22"/>
          <w:rtl w:val="0"/>
        </w:rPr>
      </w:pPr>
      <w:r>
        <w:rPr>
          <w:rStyle w:val="C22"/>
          <w:rtl w:val="0"/>
        </w:rPr>
        <w:t>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e) Popsat nutná vybavení prostor pro úpravu lidských pozůstatků</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831" w:hRule="exact" w:wrap="none" w:vAnchor="page" w:hAnchor="margin" w:x="45" w:y="6773"/>
        <w:rPr>
          <w:rStyle w:val="C3"/>
          <w:rtl w:val="0"/>
        </w:rPr>
      </w:pPr>
    </w:p>
    <w:p>
      <w:pPr>
        <w:pStyle w:val="P17"/>
        <w:framePr w:w="6658" w:h="704" w:hRule="exact" w:wrap="none" w:vAnchor="page" w:hAnchor="margin" w:x="71" w:y="6829"/>
        <w:rPr>
          <w:rStyle w:val="C13"/>
          <w:rtl w:val="0"/>
        </w:rPr>
      </w:pPr>
      <w:r>
        <w:rPr>
          <w:rStyle w:val="C13"/>
          <w:rtl w:val="0"/>
        </w:rPr>
        <w:t>f) Vysvětlit na příkladech kritické hygienické body a místa kritická pro zranění nebo zavlečení nákazy do organismu. Doporučit preventivní očkování proti žloutence a dalším nemocem</w:t>
      </w:r>
    </w:p>
    <w:p>
      <w:pPr>
        <w:pStyle w:val="P30"/>
        <w:framePr w:w="3921" w:h="831" w:hRule="exact" w:wrap="none" w:vAnchor="page" w:hAnchor="margin" w:x="6800" w:y="6773"/>
        <w:rPr>
          <w:rStyle w:val="C3"/>
          <w:rtl w:val="0"/>
        </w:rPr>
      </w:pPr>
    </w:p>
    <w:p>
      <w:pPr>
        <w:pStyle w:val="P31"/>
        <w:framePr w:w="3839" w:h="704" w:hRule="exact" w:wrap="none" w:vAnchor="page" w:hAnchor="margin" w:x="6856" w:y="6829"/>
        <w:rPr>
          <w:rStyle w:val="C22"/>
          <w:rtl w:val="0"/>
        </w:rPr>
      </w:pPr>
      <w:r>
        <w:rPr>
          <w:rStyle w:val="C22"/>
          <w:rtl w:val="0"/>
        </w:rPr>
        <w:t>Ústní nebo písemné ověření</w:t>
      </w:r>
    </w:p>
    <w:p>
      <w:pPr>
        <w:pStyle w:val="P12"/>
        <w:framePr w:w="6710" w:h="1504" w:hRule="exact" w:wrap="none" w:vAnchor="page" w:hAnchor="margin" w:x="45" w:y="7604"/>
        <w:rPr>
          <w:rStyle w:val="C3"/>
          <w:rtl w:val="0"/>
        </w:rPr>
      </w:pPr>
    </w:p>
    <w:p>
      <w:pPr>
        <w:pStyle w:val="P13"/>
        <w:framePr w:w="6658" w:h="1377" w:hRule="exact" w:wrap="none" w:vAnchor="page" w:hAnchor="margin" w:x="71" w:y="7660"/>
        <w:rPr>
          <w:rStyle w:val="C11"/>
          <w:rtl w:val="0"/>
        </w:rPr>
      </w:pPr>
      <w:r>
        <w:rPr>
          <w:rStyle w:val="C11"/>
          <w:rtl w:val="0"/>
        </w:rPr>
        <w:t>g) Vysvětlit způsob dezinfekce pracovního oděvu a pomůcek, popř. způsob jejich detoxikace nebo likvidace (bylo-li při převozu podezření, že šlo o lidské pozůstatky osoby, která v době úmrtí byla nakažena infekčními onemocněními, vyvolanými vysoce rizikovými biologickými agens a jejich toxiny). Vysvětlit důvody pro oddělení šatny špinavé a čisté, separátní pračky na montérky, separátního sociálního zařízení, sprchy</w:t>
      </w:r>
    </w:p>
    <w:p>
      <w:pPr>
        <w:pStyle w:val="P28"/>
        <w:framePr w:w="3921" w:h="1504" w:hRule="exact" w:wrap="none" w:vAnchor="page" w:hAnchor="margin" w:x="6800" w:y="7604"/>
        <w:rPr>
          <w:rStyle w:val="C3"/>
          <w:rtl w:val="0"/>
        </w:rPr>
      </w:pPr>
    </w:p>
    <w:p>
      <w:pPr>
        <w:pStyle w:val="P29"/>
        <w:framePr w:w="3839" w:h="1377" w:hRule="exact" w:wrap="none" w:vAnchor="page" w:hAnchor="margin" w:x="6856" w:y="7660"/>
        <w:rPr>
          <w:rStyle w:val="C21"/>
          <w:rtl w:val="0"/>
        </w:rPr>
      </w:pPr>
      <w:r>
        <w:rPr>
          <w:rStyle w:val="C21"/>
          <w:rtl w:val="0"/>
        </w:rPr>
        <w:t>Ústní nebo písemné ověření</w:t>
      </w:r>
    </w:p>
    <w:p>
      <w:pPr>
        <w:pStyle w:val="P16"/>
        <w:framePr w:w="6710" w:h="831" w:hRule="exact" w:wrap="none" w:vAnchor="page" w:hAnchor="margin" w:x="45" w:y="9108"/>
        <w:rPr>
          <w:rStyle w:val="C3"/>
          <w:rtl w:val="0"/>
        </w:rPr>
      </w:pPr>
    </w:p>
    <w:p>
      <w:pPr>
        <w:pStyle w:val="P17"/>
        <w:framePr w:w="6658" w:h="704" w:hRule="exact" w:wrap="none" w:vAnchor="page" w:hAnchor="margin" w:x="71" w:y="9164"/>
        <w:rPr>
          <w:rStyle w:val="C13"/>
          <w:rtl w:val="0"/>
        </w:rPr>
      </w:pPr>
      <w:r>
        <w:rPr>
          <w:rStyle w:val="C13"/>
          <w:rtl w:val="0"/>
        </w:rPr>
        <w:t>h) Zdůvodnit, proč lidské pozůstatky a ostatky, včetně nesnímatelných náhrad a ozdob, nejsou odpadem nebo věcí v občanskoprávním smyslu, kterou lze vlastnit, dědit nebo s ní obchodovat</w:t>
      </w:r>
    </w:p>
    <w:p>
      <w:pPr>
        <w:pStyle w:val="P30"/>
        <w:framePr w:w="3921" w:h="831" w:hRule="exact" w:wrap="none" w:vAnchor="page" w:hAnchor="margin" w:x="6800" w:y="9108"/>
        <w:rPr>
          <w:rStyle w:val="C3"/>
          <w:rtl w:val="0"/>
        </w:rPr>
      </w:pPr>
    </w:p>
    <w:p>
      <w:pPr>
        <w:pStyle w:val="P31"/>
        <w:framePr w:w="3839" w:h="704" w:hRule="exact" w:wrap="none" w:vAnchor="page" w:hAnchor="margin" w:x="6856" w:y="9164"/>
        <w:rPr>
          <w:rStyle w:val="C22"/>
          <w:rtl w:val="0"/>
        </w:rPr>
      </w:pPr>
      <w:r>
        <w:rPr>
          <w:rStyle w:val="C22"/>
          <w:rtl w:val="0"/>
        </w:rPr>
        <w:t>Ústní ověření</w:t>
      </w:r>
    </w:p>
    <w:p>
      <w:pPr>
        <w:pStyle w:val="P32"/>
        <w:framePr w:w="10710" w:h="248" w:hRule="exact" w:wrap="none" w:vAnchor="page" w:hAnchor="margin" w:x="28" w:y="100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vyšší hygienické zaopatření těl zemřelých, 7.7.2026 16:17:11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Ohledání lidských pozůstatků a jejich označení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Zajistit intimitu zesnulého, zavřít mu oči a ústa, svléknout z těla osobní prádlo, odstranit kanily a katétry, zkrátit drény, čistě převázat rány, tělo zakrýt prostěradlem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jednotlivé kolonky a údaje v Listu o prohlídce zemřelého; určit všechny osoby, které s listem pracují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Použít fix na kůži k popsání identifikace zesnulého na jeho těle, vyplnit identifikační kartičku a uvázat na tělo zemřelého</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Použít nerozpojitelný plastový náramek s identifikací zesnulého a upevnit jej na zápěstí ruky, event. na kotník nohy a po uplynutí zákonné lhůty uložit do chladicího boxu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Zapsat osobní věci do knihy cenností a předat je příbuzným zemřelého proti podpisu, včetně vyjádření soustrasti a empatie</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f) Při nesouhlasu příbuzných s pitvou sepsat formulář a zajistit jeho schválení</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Při projevení přání příbuzných zemřelého zajistit rozloučení na lůžku v pietní místnosti</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547" w:hRule="exact" w:wrap="none" w:vAnchor="page" w:hAnchor="margin" w:x="28" w:y="7985"/>
        <w:rPr>
          <w:rStyle w:val="C18"/>
          <w:rtl w:val="0"/>
        </w:rPr>
      </w:pPr>
      <w:r>
        <w:rPr>
          <w:rStyle w:val="C18"/>
          <w:rtl w:val="0"/>
        </w:rPr>
        <w:t>Omývání, oblékání a další úpravy lidských pozůstatků do rakví při přípravě smutečních obřadů nebo ve spolupráci s pozůstalými</w:t>
      </w:r>
    </w:p>
    <w:p>
      <w:pPr>
        <w:pStyle w:val="P24"/>
        <w:framePr w:w="6713" w:h="376" w:hRule="exact" w:wrap="none" w:vAnchor="page" w:hAnchor="margin" w:x="45" w:y="8631"/>
        <w:rPr>
          <w:rStyle w:val="C3"/>
          <w:rtl w:val="0"/>
        </w:rPr>
      </w:pPr>
    </w:p>
    <w:p>
      <w:pPr>
        <w:pStyle w:val="P25"/>
        <w:framePr w:w="6661" w:h="249" w:hRule="exact" w:wrap="none" w:vAnchor="page" w:hAnchor="margin" w:x="71" w:y="8702"/>
        <w:rPr>
          <w:rStyle w:val="C19"/>
          <w:rtl w:val="0"/>
        </w:rPr>
      </w:pPr>
      <w:r>
        <w:rPr>
          <w:rStyle w:val="C19"/>
          <w:rtl w:val="0"/>
        </w:rPr>
        <w:t>Kritéria hodnocení</w:t>
      </w:r>
    </w:p>
    <w:p>
      <w:pPr>
        <w:pStyle w:val="P26"/>
        <w:framePr w:w="3918" w:h="376" w:hRule="exact" w:wrap="none" w:vAnchor="page" w:hAnchor="margin" w:x="6803" w:y="8631"/>
        <w:rPr>
          <w:rStyle w:val="C3"/>
          <w:rtl w:val="0"/>
        </w:rPr>
      </w:pPr>
    </w:p>
    <w:p>
      <w:pPr>
        <w:pStyle w:val="P27"/>
        <w:framePr w:w="3836" w:h="249" w:hRule="exact" w:wrap="none" w:vAnchor="page" w:hAnchor="margin" w:x="6859" w:y="8702"/>
        <w:rPr>
          <w:rStyle w:val="C20"/>
          <w:rtl w:val="0"/>
        </w:rPr>
      </w:pPr>
      <w:r>
        <w:rPr>
          <w:rStyle w:val="C20"/>
          <w:rtl w:val="0"/>
        </w:rPr>
        <w:t>Způsoby ověření</w:t>
      </w:r>
    </w:p>
    <w:p>
      <w:pPr>
        <w:pStyle w:val="P12"/>
        <w:framePr w:w="6710" w:h="607" w:hRule="exact" w:wrap="none" w:vAnchor="page" w:hAnchor="margin" w:x="45" w:y="9007"/>
        <w:rPr>
          <w:rStyle w:val="C3"/>
          <w:rtl w:val="0"/>
        </w:rPr>
      </w:pPr>
    </w:p>
    <w:p>
      <w:pPr>
        <w:pStyle w:val="P13"/>
        <w:framePr w:w="6658" w:h="480" w:hRule="exact" w:wrap="none" w:vAnchor="page" w:hAnchor="margin" w:x="71" w:y="9063"/>
        <w:rPr>
          <w:rStyle w:val="C11"/>
          <w:rtl w:val="0"/>
        </w:rPr>
      </w:pPr>
      <w:r>
        <w:rPr>
          <w:rStyle w:val="C11"/>
          <w:rtl w:val="0"/>
        </w:rPr>
        <w:t>a) Popsat způsoby úpravy lidských pozůstatků před jejich uložením do konečné rakve a doporučit výběr oděvu pro zesnulého k uložení do rakve</w:t>
      </w:r>
    </w:p>
    <w:p>
      <w:pPr>
        <w:pStyle w:val="P28"/>
        <w:framePr w:w="3921" w:h="607" w:hRule="exact" w:wrap="none" w:vAnchor="page" w:hAnchor="margin" w:x="6800" w:y="9007"/>
        <w:rPr>
          <w:rStyle w:val="C3"/>
          <w:rtl w:val="0"/>
        </w:rPr>
      </w:pPr>
    </w:p>
    <w:p>
      <w:pPr>
        <w:pStyle w:val="P29"/>
        <w:framePr w:w="3839" w:h="480" w:hRule="exact" w:wrap="none" w:vAnchor="page" w:hAnchor="margin" w:x="6856" w:y="9063"/>
        <w:rPr>
          <w:rStyle w:val="C21"/>
          <w:rtl w:val="0"/>
        </w:rPr>
      </w:pPr>
      <w:r>
        <w:rPr>
          <w:rStyle w:val="C21"/>
          <w:rtl w:val="0"/>
        </w:rPr>
        <w:t>Ústní ověření</w:t>
      </w:r>
    </w:p>
    <w:p>
      <w:pPr>
        <w:pStyle w:val="P16"/>
        <w:framePr w:w="6710" w:h="831" w:hRule="exact" w:wrap="none" w:vAnchor="page" w:hAnchor="margin" w:x="45" w:y="9614"/>
        <w:rPr>
          <w:rStyle w:val="C3"/>
          <w:rtl w:val="0"/>
        </w:rPr>
      </w:pPr>
    </w:p>
    <w:p>
      <w:pPr>
        <w:pStyle w:val="P17"/>
        <w:framePr w:w="6658" w:h="704" w:hRule="exact" w:wrap="none" w:vAnchor="page" w:hAnchor="margin" w:x="71" w:y="9670"/>
        <w:rPr>
          <w:rStyle w:val="C13"/>
          <w:rtl w:val="0"/>
        </w:rPr>
      </w:pPr>
      <w:r>
        <w:rPr>
          <w:rStyle w:val="C13"/>
          <w:rtl w:val="0"/>
        </w:rPr>
        <w:t>b) Vyjmenovat možnosti ošetření lidských pozůstatků zpomalujících posmrtné změny a rozlišit pojmy konzervace a balzamace lidských pozůstatků</w:t>
      </w:r>
    </w:p>
    <w:p>
      <w:pPr>
        <w:pStyle w:val="P30"/>
        <w:framePr w:w="3921" w:h="831" w:hRule="exact" w:wrap="none" w:vAnchor="page" w:hAnchor="margin" w:x="6800" w:y="9614"/>
        <w:rPr>
          <w:rStyle w:val="C3"/>
          <w:rtl w:val="0"/>
        </w:rPr>
      </w:pPr>
    </w:p>
    <w:p>
      <w:pPr>
        <w:pStyle w:val="P31"/>
        <w:framePr w:w="3839" w:h="704" w:hRule="exact" w:wrap="none" w:vAnchor="page" w:hAnchor="margin" w:x="6856" w:y="9670"/>
        <w:rPr>
          <w:rStyle w:val="C22"/>
          <w:rtl w:val="0"/>
        </w:rPr>
      </w:pPr>
      <w:r>
        <w:rPr>
          <w:rStyle w:val="C22"/>
          <w:rtl w:val="0"/>
        </w:rPr>
        <w:t>Ústní ověření</w:t>
      </w:r>
    </w:p>
    <w:p>
      <w:pPr>
        <w:pStyle w:val="P12"/>
        <w:framePr w:w="6710" w:h="607" w:hRule="exact" w:wrap="none" w:vAnchor="page" w:hAnchor="margin" w:x="45" w:y="10445"/>
        <w:rPr>
          <w:rStyle w:val="C3"/>
          <w:rtl w:val="0"/>
        </w:rPr>
      </w:pPr>
    </w:p>
    <w:p>
      <w:pPr>
        <w:pStyle w:val="P13"/>
        <w:framePr w:w="6658" w:h="480" w:hRule="exact" w:wrap="none" w:vAnchor="page" w:hAnchor="margin" w:x="71" w:y="10501"/>
        <w:rPr>
          <w:rStyle w:val="C11"/>
          <w:rtl w:val="0"/>
        </w:rPr>
      </w:pPr>
      <w:r>
        <w:rPr>
          <w:rStyle w:val="C11"/>
          <w:rtl w:val="0"/>
        </w:rPr>
        <w:t>c) Omýt, uzavřít tělní otvory, oholit lidské pozůstatky určené pro výstav v otevřené rakvi</w:t>
      </w:r>
    </w:p>
    <w:p>
      <w:pPr>
        <w:pStyle w:val="P28"/>
        <w:framePr w:w="3921" w:h="607" w:hRule="exact" w:wrap="none" w:vAnchor="page" w:hAnchor="margin" w:x="6800" w:y="10445"/>
        <w:rPr>
          <w:rStyle w:val="C3"/>
          <w:rtl w:val="0"/>
        </w:rPr>
      </w:pPr>
    </w:p>
    <w:p>
      <w:pPr>
        <w:pStyle w:val="P29"/>
        <w:framePr w:w="3839" w:h="480" w:hRule="exact" w:wrap="none" w:vAnchor="page" w:hAnchor="margin" w:x="6856" w:y="10501"/>
        <w:rPr>
          <w:rStyle w:val="C21"/>
          <w:rtl w:val="0"/>
        </w:rPr>
      </w:pPr>
      <w:r>
        <w:rPr>
          <w:rStyle w:val="C21"/>
          <w:rtl w:val="0"/>
        </w:rPr>
        <w:t>Praktické předvedení</w:t>
      </w:r>
    </w:p>
    <w:p>
      <w:pPr>
        <w:pStyle w:val="P16"/>
        <w:framePr w:w="6710" w:h="607" w:hRule="exact" w:wrap="none" w:vAnchor="page" w:hAnchor="margin" w:x="45" w:y="11052"/>
        <w:rPr>
          <w:rStyle w:val="C3"/>
          <w:rtl w:val="0"/>
        </w:rPr>
      </w:pPr>
    </w:p>
    <w:p>
      <w:pPr>
        <w:pStyle w:val="P17"/>
        <w:framePr w:w="6658" w:h="480" w:hRule="exact" w:wrap="none" w:vAnchor="page" w:hAnchor="margin" w:x="71" w:y="11108"/>
        <w:rPr>
          <w:rStyle w:val="C13"/>
          <w:rtl w:val="0"/>
        </w:rPr>
      </w:pPr>
      <w:r>
        <w:rPr>
          <w:rStyle w:val="C13"/>
          <w:rtl w:val="0"/>
        </w:rPr>
        <w:t>d) Předvést postup oblékání upravených lidských pozůstatků do rubáše nebo do šatů podle zadání</w:t>
      </w:r>
    </w:p>
    <w:p>
      <w:pPr>
        <w:pStyle w:val="P30"/>
        <w:framePr w:w="3921" w:h="607" w:hRule="exact" w:wrap="none" w:vAnchor="page" w:hAnchor="margin" w:x="6800" w:y="11052"/>
        <w:rPr>
          <w:rStyle w:val="C3"/>
          <w:rtl w:val="0"/>
        </w:rPr>
      </w:pPr>
    </w:p>
    <w:p>
      <w:pPr>
        <w:pStyle w:val="P31"/>
        <w:framePr w:w="3839" w:h="480" w:hRule="exact" w:wrap="none" w:vAnchor="page" w:hAnchor="margin" w:x="6856" w:y="11108"/>
        <w:rPr>
          <w:rStyle w:val="C22"/>
          <w:rtl w:val="0"/>
        </w:rPr>
      </w:pPr>
      <w:r>
        <w:rPr>
          <w:rStyle w:val="C22"/>
          <w:rtl w:val="0"/>
        </w:rPr>
        <w:t>Praktické předvedení</w:t>
      </w:r>
    </w:p>
    <w:p>
      <w:pPr>
        <w:pStyle w:val="P12"/>
        <w:framePr w:w="6710" w:h="607" w:hRule="exact" w:wrap="none" w:vAnchor="page" w:hAnchor="margin" w:x="45" w:y="11659"/>
        <w:rPr>
          <w:rStyle w:val="C3"/>
          <w:rtl w:val="0"/>
        </w:rPr>
      </w:pPr>
    </w:p>
    <w:p>
      <w:pPr>
        <w:pStyle w:val="P13"/>
        <w:framePr w:w="6658" w:h="480" w:hRule="exact" w:wrap="none" w:vAnchor="page" w:hAnchor="margin" w:x="71" w:y="11715"/>
        <w:rPr>
          <w:rStyle w:val="C11"/>
          <w:rtl w:val="0"/>
        </w:rPr>
      </w:pPr>
      <w:r>
        <w:rPr>
          <w:rStyle w:val="C11"/>
          <w:rtl w:val="0"/>
        </w:rPr>
        <w:t>e) Předvést manipulaci s lidskými pozůstatky při ukládání na nosítka, do transportního vaku a do rakve</w:t>
      </w:r>
    </w:p>
    <w:p>
      <w:pPr>
        <w:pStyle w:val="P28"/>
        <w:framePr w:w="3921" w:h="607" w:hRule="exact" w:wrap="none" w:vAnchor="page" w:hAnchor="margin" w:x="6800" w:y="11659"/>
        <w:rPr>
          <w:rStyle w:val="C3"/>
          <w:rtl w:val="0"/>
        </w:rPr>
      </w:pPr>
    </w:p>
    <w:p>
      <w:pPr>
        <w:pStyle w:val="P29"/>
        <w:framePr w:w="3839" w:h="480" w:hRule="exact" w:wrap="none" w:vAnchor="page" w:hAnchor="margin" w:x="6856" w:y="11715"/>
        <w:rPr>
          <w:rStyle w:val="C21"/>
          <w:rtl w:val="0"/>
        </w:rPr>
      </w:pPr>
      <w:r>
        <w:rPr>
          <w:rStyle w:val="C21"/>
          <w:rtl w:val="0"/>
        </w:rPr>
        <w:t>Praktické předvedení</w:t>
      </w:r>
    </w:p>
    <w:p>
      <w:pPr>
        <w:pStyle w:val="P16"/>
        <w:framePr w:w="6710" w:h="831" w:hRule="exact" w:wrap="none" w:vAnchor="page" w:hAnchor="margin" w:x="45" w:y="12266"/>
        <w:rPr>
          <w:rStyle w:val="C3"/>
          <w:rtl w:val="0"/>
        </w:rPr>
      </w:pPr>
    </w:p>
    <w:p>
      <w:pPr>
        <w:pStyle w:val="P17"/>
        <w:framePr w:w="6658" w:h="704" w:hRule="exact" w:wrap="none" w:vAnchor="page" w:hAnchor="margin" w:x="71" w:y="12322"/>
        <w:rPr>
          <w:rStyle w:val="C13"/>
          <w:rtl w:val="0"/>
        </w:rPr>
      </w:pPr>
      <w:r>
        <w:rPr>
          <w:rStyle w:val="C13"/>
          <w:rtl w:val="0"/>
        </w:rPr>
        <w:t>f) Určit podmínky, za kterých je možné, vyžádá-li si zákazník službu, uložení zesnulého do konečné rakve již v místě úmrtí (zpravidla v bytě, účast pozůstalých při oblékání a ukládání lidských pozůstatků do rakve)</w:t>
      </w:r>
    </w:p>
    <w:p>
      <w:pPr>
        <w:pStyle w:val="P30"/>
        <w:framePr w:w="3921" w:h="831" w:hRule="exact" w:wrap="none" w:vAnchor="page" w:hAnchor="margin" w:x="6800" w:y="12266"/>
        <w:rPr>
          <w:rStyle w:val="C3"/>
          <w:rtl w:val="0"/>
        </w:rPr>
      </w:pPr>
    </w:p>
    <w:p>
      <w:pPr>
        <w:pStyle w:val="P31"/>
        <w:framePr w:w="3839" w:h="704" w:hRule="exact" w:wrap="none" w:vAnchor="page" w:hAnchor="margin" w:x="6856" w:y="12322"/>
        <w:rPr>
          <w:rStyle w:val="C22"/>
          <w:rtl w:val="0"/>
        </w:rPr>
      </w:pPr>
      <w:r>
        <w:rPr>
          <w:rStyle w:val="C22"/>
          <w:rtl w:val="0"/>
        </w:rPr>
        <w:t>Ústní ověření</w:t>
      </w:r>
    </w:p>
    <w:p>
      <w:pPr>
        <w:pStyle w:val="P32"/>
        <w:framePr w:w="10710" w:h="248" w:hRule="exact" w:wrap="none" w:vAnchor="page" w:hAnchor="margin" w:x="28" w:y="13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vyšší hygienické zaopatření těl zemřelých, 7.7.2026 16:17:11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estetických úprav lidských pozůstatků pro jejich veřejné vystavení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Zakrýt oblečení a vnitřek rakve v horní oblasti těla, aby nedošlo k ušpinění oblečení a vnitřní výplně rakve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Provést hygienu dutiny ústní, nasadit zubní náhradu nebo vytvořit chybějící chrup, provést ligaturu dutiny ústní pomocí chirurgických jehel a nití, vyčistit pleť, oční jamky, koutky úst, osušit tvář, ostříhat chloupky v nose a v uších</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Podle portrétní fotografie esteticky upravit obličej, vlasy a ruce zesnulého, nanést make-up a zakrýt posmrtné změny tak, aby byla obnovena přirozená barva a vzhled viditelných částí zesnulého</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manikúru nehtů, upravit tvar a délku nehtu, popřípadě ošetřit kůžičku kolem nehtu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Očistit oblečení a vnitřní výplň rakve od případných nečistot, položit do rakve předměty na přání rodiny</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Vedení předepsané evidence lidských pozůstatků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Vyjmenovat údaje vedené v evidenci o lidských pozůstatcích přijatých k přechodnému uložení</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nebo písemné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Uvést základní právní normy pro shromažďování a zpracováváni osobních údajů pro evidenci lidských pozůstatků</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Ústní nebo písemné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Vyjmenovat povinné údaje uvedené v evidenci k jednotlivým osobním cennostem po zemřelém, které si pozůstalí nepřevezmou</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nebo písemné ověření</w:t>
      </w:r>
    </w:p>
    <w:p>
      <w:pPr>
        <w:pStyle w:val="P16"/>
        <w:framePr w:w="6710" w:h="1055" w:hRule="exact" w:wrap="none" w:vAnchor="page" w:hAnchor="margin" w:x="45" w:y="9862"/>
        <w:rPr>
          <w:rStyle w:val="C3"/>
          <w:rtl w:val="0"/>
        </w:rPr>
      </w:pPr>
    </w:p>
    <w:p>
      <w:pPr>
        <w:pStyle w:val="P17"/>
        <w:framePr w:w="6658" w:h="928" w:hRule="exact" w:wrap="none" w:vAnchor="page" w:hAnchor="margin" w:x="71" w:y="9918"/>
        <w:rPr>
          <w:rStyle w:val="C13"/>
          <w:rtl w:val="0"/>
        </w:rPr>
      </w:pPr>
      <w:r>
        <w:rPr>
          <w:rStyle w:val="C13"/>
          <w:rtl w:val="0"/>
        </w:rPr>
        <w:t>d) Demonstrovat možné formy a rozsah vedení evidence související s provozováním vyššího hygienického zaopatření těl zemřelých (kniha příjmů, kniha cenností, výdej zlatých kovů) včetně ukázky na předem zvoleném softwaru</w:t>
      </w:r>
    </w:p>
    <w:p>
      <w:pPr>
        <w:pStyle w:val="P30"/>
        <w:framePr w:w="3921" w:h="1055" w:hRule="exact" w:wrap="none" w:vAnchor="page" w:hAnchor="margin" w:x="6800" w:y="9862"/>
        <w:rPr>
          <w:rStyle w:val="C3"/>
          <w:rtl w:val="0"/>
        </w:rPr>
      </w:pPr>
    </w:p>
    <w:p>
      <w:pPr>
        <w:pStyle w:val="P31"/>
        <w:framePr w:w="3839" w:h="928" w:hRule="exact" w:wrap="none" w:vAnchor="page" w:hAnchor="margin" w:x="6856" w:y="9918"/>
        <w:rPr>
          <w:rStyle w:val="C22"/>
          <w:rtl w:val="0"/>
        </w:rPr>
      </w:pPr>
      <w:r>
        <w:rPr>
          <w:rStyle w:val="C22"/>
          <w:rtl w:val="0"/>
        </w:rPr>
        <w:t>Praktické předvedení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e) Uvést účelné doby a způsoby archivace písemností souvisejících s vyšším hygienickým zaopatřením těl zemřelých</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Ústní ověření</w:t>
      </w:r>
    </w:p>
    <w:p>
      <w:pPr>
        <w:pStyle w:val="P32"/>
        <w:framePr w:w="10710" w:h="248" w:hRule="exact" w:wrap="none" w:vAnchor="page" w:hAnchor="margin" w:x="28" w:y="11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vyšší hygienické zaopatření těl zemřelých, 7.7.2026 16:17:11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základních zásad pohřbívání v poradenství pro pozůstalé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pohřebního rituálu a předložit argumenty pro důstojné rozloučení se zemřelým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Vysvětlit, co je možné udělat v případě očekávaného úmrtí doma (jak splnit oznamovací povinnost o úmrtí, jak pomoci pozůstalému v posledním kontaktu s tělem zemřelého, kdy je nutné kontaktovat pohřební službu, jak tělo zemřelého umýt, upravit a obléci)</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Objasnit postup při objednávání pohřbu a hrobového místa (především po vyzvednutí urny), popsat průběh pohřebních obřadů nad rakví (občanských i náboženských, způsob kondolence)</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Předložit argumenty podporující skutečnost, že „pohřeb bez obřadu“ může způsobit závažné právní i psychické problémy blízkým i vzdáleným pozůstalým</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Ústní ověření</w:t>
      </w:r>
    </w:p>
    <w:p>
      <w:pPr>
        <w:pStyle w:val="P32"/>
        <w:framePr w:w="10710" w:h="248" w:hRule="exact" w:wrap="none" w:vAnchor="page" w:hAnchor="margin" w:x="28" w:y="64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vyšší hygienické zaopatření těl zemřelých, 7.7.2026 16:17:11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během zkoušky zaručit dodržování nejen zásad ochrany hygieny a životního prostředí, ale i ochrany postmortální osobnosti zemřelého a osobně zajistit, aby s mrtvým lidským tělem bylo nakládáno uctivě a důstojně. Pořizování audiovizuálních záznamů z průběhu zkoušky je zakázáno.</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103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pro vyšší hygienické zaopatření těl zemřelých, 7.7.2026 16:17:11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zdravotnictví nebo osobních služeb a alespoň 5 let odborné praxe v oblasti vyššího hygienického zaopatřování těl zemřelých, z toho minimálně jeden rok v období posledních dvou let před podáním žádosti o udělení autorizace.</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pracovník pro vyšší hygienické zaopatření těl zemřelých, střední vzdělání s výučním listem v oblasti zdravotnictví nebo osobních služeb a alespoň 5 let odborné praxe v oblasti vyššího hygienického zaopatřování těl zemřelých, z toho minimálně jeden rok v období posledních dvou let před podáním žádosti o udělení autorizace.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 pro vyšší hygienické zaopatření těl zemřelých, 7.7.2026 16:17:11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manipulaci s tělem zemřelého</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úpravu zemřelých s tekoucí vodou</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Márnice s chladicím zařízením</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Lidské pozůstatky do týdne od úmrtí, ke kterým se nikdo nehlásí</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Rubáš</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 na kůži</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Prostěradlo</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Konečná rakev</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Nerozpojitelný plastový náramek</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pomůcky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Identifikační lístek</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tiskopisy a formuláře</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 o prohlídce zemřelého</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Emitní miska, vata/gáza, obvaz, čtverečky buničiny, dřevěné lopatky, tác k uložení věcí zemřelého, jednorázový empír, jednorázové gumové rukavice, jednorázovou zástěru, jednorázovou roušku či ústenku, jednorázový kryt hlavy, jednorázové papírové utěrky, tampóny, vlhké ubrousky, vatu, sáčky na biologický odpad, netkané textilie Pervin/Perlan, houbičky na make-up, make-up pro zemřelé, suchý šampon, lak na nehty, pudry, rtěnky, řasenky, hřebeny, nůžky, chirurgické jehly, nitě a umělé vlasy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668"/>
        <w:rPr>
          <w:rStyle w:val="C3"/>
          <w:rtl w:val="0"/>
        </w:rPr>
      </w:pPr>
    </w:p>
    <w:p>
      <w:pPr>
        <w:pStyle w:val="P35"/>
        <w:framePr w:w="10710" w:h="340" w:hRule="exact" w:wrap="none" w:vAnchor="page" w:hAnchor="margin" w:x="28" w:y="8668"/>
        <w:rPr>
          <w:rStyle w:val="C25"/>
          <w:rtl w:val="0"/>
        </w:rPr>
      </w:pPr>
      <w:r>
        <w:rPr>
          <w:rStyle w:val="C25"/>
          <w:rtl w:val="0"/>
        </w:rPr>
        <w:t>Doba přípravy na zkoušku</w:t>
      </w:r>
    </w:p>
    <w:p>
      <w:pPr>
        <w:keepNext w:val="0"/>
        <w:keepLines w:val="0"/>
        <w:framePr w:w="10766" w:h="1036" w:hRule="exact" w:wrap="none" w:vAnchor="page" w:hAnchor="margin" w:x="0" w:y="90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10271"/>
        <w:rPr>
          <w:rStyle w:val="C3"/>
          <w:rtl w:val="0"/>
        </w:rPr>
      </w:pPr>
    </w:p>
    <w:p>
      <w:pPr>
        <w:pStyle w:val="P35"/>
        <w:framePr w:w="10710" w:h="340" w:hRule="exact" w:wrap="none" w:vAnchor="page" w:hAnchor="margin" w:x="28" w:y="10271"/>
        <w:rPr>
          <w:rStyle w:val="C25"/>
          <w:rtl w:val="0"/>
        </w:rPr>
      </w:pPr>
      <w:r>
        <w:rPr>
          <w:rStyle w:val="C25"/>
          <w:rtl w:val="0"/>
        </w:rPr>
        <w:t>Doba pro vykonání zkoušky</w:t>
      </w:r>
    </w:p>
    <w:p>
      <w:pPr>
        <w:keepNext w:val="0"/>
        <w:keepLines w:val="0"/>
        <w:framePr w:w="10766" w:h="806" w:hRule="exact" w:wrap="none" w:vAnchor="page" w:hAnchor="margin" w:x="0" w:y="10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vyšší hygienické zaopatření těl zemřelých, 7.7.2026 16:17:11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ostatní služby ustavená a licencovaná pro tuto činnost HK ČR a SP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Pohřební ústav hl. města Prahy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KSA FF Univerzity Palackého Olomouc</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Václav Graf – lektor a soudní znalec pohřebnictví</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pohřebnictví v ČR</w:t>
      </w:r>
    </w:p>
    <w:p>
      <w:pPr>
        <w:pStyle w:val="P21"/>
        <w:framePr w:w="7654" w:h="331" w:hRule="exact" w:wrap="none" w:vAnchor="page" w:hAnchor="margin" w:x="28" w:y="15940"/>
        <w:rPr>
          <w:rStyle w:val="C16"/>
          <w:rtl w:val="0"/>
        </w:rPr>
      </w:pPr>
      <w:r>
        <w:rPr>
          <w:rStyle w:val="C16"/>
          <w:rtl w:val="0"/>
        </w:rPr>
        <w:t>Pracovník pro vyšší hygienické zaopatření těl zemřelých, 7.7.2026 16:17:11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8C8B1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DFA4B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