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4770C4" Type="http://schemas.openxmlformats.org/officeDocument/2006/relationships/officeDocument" Target="/word/document.xml" /><Relationship Id="coreR704770C4" Type="http://schemas.openxmlformats.org/package/2006/relationships/metadata/core-properties" Target="/docProps/core.xml" /><Relationship Id="customR704770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bazénu (kód: 69-050-H)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bazénu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přírodního a umělého koupaliště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úpravny bazénové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provozu přírodního a umělého koupaliště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hygieny provozu přírodního a umělého koupaliště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profesích spojených s provozem přírodního a umělého koupaliště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ekonomického provozu přírodního a umělého koupaliště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bazénu, 30.9.2026 2:33:44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https://nsp.cz/jednotka-prace/technik-bazenu-dc27#zdravotni-zpusobilost).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ze dvou částí, praktické a teoretické. Praktická část probíhá ve strojovně plaveckého bazénu, kde je umístěna celá technologie úpravy bazénové vody. Teoretická část se koná ve zkušební místnosti.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bude zejména posuzováno: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Kvalita předvedení, bezpečnost provedené práce a znalost vazby jednotlivých technologických postupů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Časové dodržení požadavků zadání, pokynů výrobců strojů, chemických prostředků a úklidových pomůcek.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bazénu, 30.9.2026 2:33:44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Služby města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bazénu, 30.9.2026 2:33:44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