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BA1EB" Type="http://schemas.openxmlformats.org/officeDocument/2006/relationships/officeDocument" Target="/word/document.xml" /><Relationship Id="coreR195BA1EB" Type="http://schemas.openxmlformats.org/package/2006/relationships/metadata/core-properties" Target="/docProps/core.xml" /><Relationship Id="customR195BA1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bazénu (kód: 69-050-H)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přírodního a umělého koupaliště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úpravny bazénové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přírodního a umělého koupaliště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hygieny provozu přírodního a umělého koupaliště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profesích spojených s provozem přírodního a umělého koupaliště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ekonomického provozu přírodního a umělého koupaliště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https://nsp.cz/jednotka-prace/technik-bazenu-dc27#zdravotni-zpusobilost).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ze dvou částí, praktické a teoretické. Praktická část probíhá ve strojovně plaveckého bazénu, kde je umístěna celá technologie úpravy bazénové vody. Teoretická část se koná ve zkušební místnosti.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bazénu,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