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FB10F0" Type="http://schemas.openxmlformats.org/officeDocument/2006/relationships/officeDocument" Target="/word/document.xml" /><Relationship Id="coreRFB10F0" Type="http://schemas.openxmlformats.org/package/2006/relationships/metadata/core-properties" Target="/docProps/core.xml" /><Relationship Id="customRFB10F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suchých stěn a stropních podhledů (kód: 36-066-H)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suchých stěn a stropních podhledů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4283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 do: 04.07.2023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suchých stěn a stropních podhledů, 7.5.2026 20:19:19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Montér suchých staveb (kód: 36-66-H/01)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Montér/montérka suchých staveb (kód: 36-021-H)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29.10.2013 do 11.2.2023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Montér/montérka kazetových podhledů (kód: 36-063-H)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Montér/montérka půdních vestaveb (kód: 36-064-H)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Montér/montérka suchých podlah (kód: 36-065-H)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Montér/montérka suchých stěn a stropních podhledů (kód: 36-066-H)</w:t>
      </w:r>
    </w:p>
    <w:p>
      <w:pPr>
        <w:pStyle w:val="P6"/>
        <w:framePr w:w="10710" w:h="113" w:hRule="exact" w:wrap="none" w:vAnchor="page" w:hAnchor="margin" w:x="28" w:y="565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99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449"/>
        <w:rPr>
          <w:rStyle w:val="C16"/>
          <w:rtl w:val="0"/>
        </w:rPr>
      </w:pPr>
      <w:r>
        <w:rPr>
          <w:rStyle w:val="C16"/>
          <w:rtl w:val="0"/>
        </w:rPr>
        <w:t>Platnost od 29.1.2009 do neomezeně</w:t>
      </w:r>
    </w:p>
    <w:p>
      <w:pPr>
        <w:pStyle w:val="P12"/>
        <w:framePr w:w="10710" w:h="478" w:hRule="exact" w:wrap="none" w:vAnchor="page" w:hAnchor="margin" w:x="28" w:y="6697"/>
        <w:rPr>
          <w:rStyle w:val="C13"/>
          <w:rtl w:val="0"/>
        </w:rPr>
      </w:pPr>
      <w:r>
        <w:rPr>
          <w:rStyle w:val="C13"/>
          <w:rtl w:val="0"/>
        </w:rPr>
        <w:t>Úplnou profesní kvalifikaci Montér suchých staveb (kód: 36-99-H/33)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728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289"/>
        <w:rPr>
          <w:rStyle w:val="C15"/>
          <w:rtl w:val="0"/>
        </w:rPr>
      </w:pPr>
      <w:r>
        <w:rPr>
          <w:rStyle w:val="C15"/>
          <w:rtl w:val="0"/>
        </w:rPr>
        <w:t>Platnost od 29.1.2009 do neomezeně</w:t>
      </w:r>
    </w:p>
    <w:p>
      <w:pPr>
        <w:pStyle w:val="P12"/>
        <w:framePr w:w="10256" w:h="248" w:hRule="exact" w:wrap="none" w:vAnchor="page" w:hAnchor="margin" w:x="482" w:y="7557"/>
        <w:rPr>
          <w:rStyle w:val="C13"/>
          <w:rtl w:val="0"/>
        </w:rPr>
      </w:pPr>
      <w:r>
        <w:rPr>
          <w:rStyle w:val="C13"/>
          <w:rtl w:val="0"/>
        </w:rPr>
        <w:t>Montér/montérka suchých staveb (kód: 36-021-H)</w:t>
      </w:r>
    </w:p>
    <w:p>
      <w:pPr>
        <w:pStyle w:val="P13"/>
        <w:framePr w:w="398" w:h="268" w:hRule="exact" w:wrap="none" w:vAnchor="page" w:hAnchor="margin" w:x="28" w:y="791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918"/>
        <w:rPr>
          <w:rStyle w:val="C15"/>
          <w:rtl w:val="0"/>
        </w:rPr>
      </w:pPr>
      <w:r>
        <w:rPr>
          <w:rStyle w:val="C15"/>
          <w:rtl w:val="0"/>
        </w:rPr>
        <w:t>Platnost od 29.10.2013 do 11.2.2023</w:t>
      </w:r>
    </w:p>
    <w:p>
      <w:pPr>
        <w:pStyle w:val="P12"/>
        <w:framePr w:w="10256" w:h="248" w:hRule="exact" w:wrap="none" w:vAnchor="page" w:hAnchor="margin" w:x="482" w:y="8186"/>
        <w:rPr>
          <w:rStyle w:val="C13"/>
          <w:rtl w:val="0"/>
        </w:rPr>
      </w:pPr>
      <w:r>
        <w:rPr>
          <w:rStyle w:val="C13"/>
          <w:rtl w:val="0"/>
        </w:rPr>
        <w:t>Montér/montérka kazetových podhledů (kód: 36-063-H)</w:t>
      </w:r>
    </w:p>
    <w:p>
      <w:pPr>
        <w:pStyle w:val="P12"/>
        <w:framePr w:w="10256" w:h="248" w:hRule="exact" w:wrap="none" w:vAnchor="page" w:hAnchor="margin" w:x="482" w:y="8434"/>
        <w:rPr>
          <w:rStyle w:val="C13"/>
          <w:rtl w:val="0"/>
        </w:rPr>
      </w:pPr>
      <w:r>
        <w:rPr>
          <w:rStyle w:val="C13"/>
          <w:rtl w:val="0"/>
        </w:rPr>
        <w:t>Montér/montérka půdních vestaveb (kód: 36-064-H)</w:t>
      </w:r>
    </w:p>
    <w:p>
      <w:pPr>
        <w:pStyle w:val="P12"/>
        <w:framePr w:w="10256" w:h="248" w:hRule="exact" w:wrap="none" w:vAnchor="page" w:hAnchor="margin" w:x="482" w:y="8682"/>
        <w:rPr>
          <w:rStyle w:val="C13"/>
          <w:rtl w:val="0"/>
        </w:rPr>
      </w:pPr>
      <w:r>
        <w:rPr>
          <w:rStyle w:val="C13"/>
          <w:rtl w:val="0"/>
        </w:rPr>
        <w:t>Montér/montérka suchých podlah (kód: 36-065-H)</w:t>
      </w:r>
    </w:p>
    <w:p>
      <w:pPr>
        <w:pStyle w:val="P12"/>
        <w:framePr w:w="10256" w:h="248" w:hRule="exact" w:wrap="none" w:vAnchor="page" w:hAnchor="margin" w:x="482" w:y="8930"/>
        <w:rPr>
          <w:rStyle w:val="C13"/>
          <w:rtl w:val="0"/>
        </w:rPr>
      </w:pPr>
      <w:r>
        <w:rPr>
          <w:rStyle w:val="C13"/>
          <w:rtl w:val="0"/>
        </w:rPr>
        <w:t>Montér/montérka suchých stěn a stropních podhledů (kód: 36-066-H)</w:t>
      </w:r>
    </w:p>
    <w:p>
      <w:pPr>
        <w:pStyle w:val="P6"/>
        <w:framePr w:w="10710" w:h="113" w:hRule="exact" w:wrap="none" w:vAnchor="page" w:hAnchor="margin" w:x="28" w:y="917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40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74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80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74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80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10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162"/>
        <w:rPr>
          <w:rStyle w:val="C18"/>
          <w:rtl w:val="0"/>
        </w:rPr>
      </w:pPr>
      <w:r>
        <w:rPr>
          <w:rStyle w:val="C18"/>
          <w:rtl w:val="0"/>
        </w:rPr>
        <w:t>Montér suchých stěn a stropních podhledů</w:t>
      </w:r>
    </w:p>
    <w:p>
      <w:pPr>
        <w:pStyle w:val="P20"/>
        <w:framePr w:w="5338" w:h="376" w:hRule="exact" w:wrap="none" w:vAnchor="page" w:hAnchor="margin" w:x="5383" w:y="1010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162"/>
        <w:rPr>
          <w:rStyle w:val="C19"/>
          <w:rtl w:val="0"/>
        </w:rPr>
      </w:pPr>
      <w:r>
        <w:rPr>
          <w:rStyle w:val="C19"/>
          <w:rtl w:val="0"/>
        </w:rPr>
        <w:t>Montér suchých staveb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suchých stěn a stropních podhledů, 7.5.2026 20:19:19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